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082DA" w14:textId="07E0372B" w:rsidR="002832E1" w:rsidRPr="00AE3A2C" w:rsidRDefault="002832E1" w:rsidP="002832E1">
      <w:pPr>
        <w:pStyle w:val="Header"/>
        <w:rPr>
          <w:lang w:val="en-GB"/>
        </w:rPr>
      </w:pPr>
      <w:r w:rsidRPr="00AE3A2C">
        <w:rPr>
          <w:lang w:val="en-GB"/>
        </w:rPr>
        <w:t>3GPP TSG-RAN WG2 Meeting #107</w:t>
      </w:r>
      <w:r w:rsidR="006138A3">
        <w:rPr>
          <w:lang w:val="en-GB"/>
        </w:rPr>
        <w:t>Bis</w:t>
      </w:r>
      <w:r w:rsidRPr="00AE3A2C">
        <w:rPr>
          <w:lang w:val="en-GB"/>
        </w:rPr>
        <w:tab/>
        <w:t>R2-19</w:t>
      </w:r>
      <w:r w:rsidR="00A645D1">
        <w:rPr>
          <w:lang w:val="en-GB"/>
        </w:rPr>
        <w:t>13240</w:t>
      </w:r>
    </w:p>
    <w:p w14:paraId="0C78C602" w14:textId="3075B383" w:rsidR="002832E1" w:rsidRPr="00AE3A2C" w:rsidRDefault="009D0417" w:rsidP="002832E1">
      <w:pPr>
        <w:pStyle w:val="Header"/>
        <w:rPr>
          <w:lang w:val="en-GB"/>
        </w:rPr>
      </w:pPr>
      <w:r>
        <w:rPr>
          <w:lang w:val="en-GB"/>
        </w:rPr>
        <w:t>Chongqing</w:t>
      </w:r>
      <w:r w:rsidR="006138A3" w:rsidRPr="006138A3">
        <w:rPr>
          <w:lang w:val="en-GB"/>
        </w:rPr>
        <w:t>, C</w:t>
      </w:r>
      <w:r w:rsidR="006138A3">
        <w:rPr>
          <w:lang w:val="en-GB"/>
        </w:rPr>
        <w:t>hina,</w:t>
      </w:r>
      <w:r w:rsidR="002832E1">
        <w:rPr>
          <w:lang w:val="en-GB"/>
        </w:rPr>
        <w:t xml:space="preserve"> </w:t>
      </w:r>
      <w:r w:rsidR="006138A3">
        <w:rPr>
          <w:lang w:val="en-GB"/>
        </w:rPr>
        <w:t>14</w:t>
      </w:r>
      <w:r w:rsidR="002832E1" w:rsidRPr="00AE3A2C">
        <w:rPr>
          <w:lang w:val="en-GB"/>
        </w:rPr>
        <w:t xml:space="preserve">th - </w:t>
      </w:r>
      <w:r w:rsidR="006138A3">
        <w:rPr>
          <w:lang w:val="en-GB"/>
        </w:rPr>
        <w:t>18</w:t>
      </w:r>
      <w:r w:rsidR="002832E1" w:rsidRPr="00AE3A2C">
        <w:rPr>
          <w:lang w:val="en-GB"/>
        </w:rPr>
        <w:t xml:space="preserve">th </w:t>
      </w:r>
      <w:r w:rsidR="006138A3">
        <w:rPr>
          <w:lang w:val="en-GB"/>
        </w:rPr>
        <w:t>October</w:t>
      </w:r>
      <w:r w:rsidR="002832E1" w:rsidRPr="00AE3A2C">
        <w:rPr>
          <w:lang w:val="en-GB"/>
        </w:rPr>
        <w:t xml:space="preserve"> 2019</w:t>
      </w:r>
    </w:p>
    <w:p w14:paraId="6F5560C2" w14:textId="77777777" w:rsidR="00EE2818" w:rsidRPr="00611EF5" w:rsidRDefault="00EE2818" w:rsidP="00EE2818">
      <w:pPr>
        <w:pStyle w:val="CRCoverPage"/>
        <w:outlineLvl w:val="0"/>
        <w:rPr>
          <w:b/>
          <w:noProof/>
          <w:sz w:val="24"/>
          <w:lang w:eastAsia="ja-JP"/>
        </w:rPr>
      </w:pPr>
    </w:p>
    <w:p w14:paraId="396DF082" w14:textId="12235ECE"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2F6031">
        <w:rPr>
          <w:b/>
          <w:noProof/>
          <w:sz w:val="24"/>
        </w:rPr>
        <w:t>6</w:t>
      </w:r>
      <w:r w:rsidR="00AB6525" w:rsidRPr="00611810">
        <w:rPr>
          <w:b/>
          <w:noProof/>
          <w:sz w:val="24"/>
        </w:rPr>
        <w:t>.</w:t>
      </w:r>
      <w:r w:rsidR="00797F1B" w:rsidRPr="000A3E6F">
        <w:rPr>
          <w:b/>
          <w:noProof/>
          <w:sz w:val="24"/>
        </w:rPr>
        <w:t>16</w:t>
      </w:r>
      <w:r w:rsidR="002F6031" w:rsidRPr="000A3E6F">
        <w:rPr>
          <w:b/>
          <w:noProof/>
          <w:sz w:val="24"/>
        </w:rPr>
        <w:t>.4</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68FEC9F9" w:rsidR="00EE2818" w:rsidRPr="00C93A3C" w:rsidRDefault="00EE2818" w:rsidP="00EE2818">
      <w:pPr>
        <w:pStyle w:val="CRCoverPage"/>
        <w:ind w:left="1988" w:hanging="1988"/>
        <w:rPr>
          <w:b/>
          <w:noProof/>
          <w:sz w:val="24"/>
        </w:rPr>
      </w:pPr>
      <w:r>
        <w:rPr>
          <w:b/>
          <w:noProof/>
          <w:sz w:val="24"/>
        </w:rPr>
        <w:t>Title:</w:t>
      </w:r>
      <w:r>
        <w:rPr>
          <w:b/>
          <w:noProof/>
          <w:sz w:val="24"/>
        </w:rPr>
        <w:tab/>
      </w:r>
      <w:r w:rsidR="00797F1B" w:rsidRPr="00797F1B">
        <w:rPr>
          <w:b/>
          <w:noProof/>
          <w:sz w:val="24"/>
        </w:rPr>
        <w:t>Support BFR for SCell</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587708F2" w14:textId="77FFD43E" w:rsidR="00797F1B" w:rsidRDefault="00797F1B" w:rsidP="00CD3820">
      <w:pPr>
        <w:rPr>
          <w:rFonts w:eastAsia="Malgun Gothic"/>
          <w:lang w:val="en-US" w:eastAsia="ko-KR"/>
        </w:rPr>
      </w:pPr>
      <w:r>
        <w:rPr>
          <w:rFonts w:eastAsia="Malgun Gothic"/>
          <w:lang w:val="en-US" w:eastAsia="ko-KR"/>
        </w:rPr>
        <w:t>In RAN</w:t>
      </w:r>
      <w:r w:rsidR="000C4220">
        <w:rPr>
          <w:rFonts w:eastAsia="Malgun Gothic"/>
          <w:lang w:val="en-US" w:eastAsia="ko-KR"/>
        </w:rPr>
        <w:t>1</w:t>
      </w:r>
      <w:r>
        <w:rPr>
          <w:rFonts w:eastAsia="Malgun Gothic"/>
          <w:lang w:val="en-US" w:eastAsia="ko-KR"/>
        </w:rPr>
        <w:t>#</w:t>
      </w:r>
      <w:r w:rsidR="000C4220">
        <w:rPr>
          <w:rFonts w:eastAsia="Malgun Gothic"/>
          <w:lang w:val="en-US" w:eastAsia="ko-KR"/>
        </w:rPr>
        <w:t xml:space="preserve">97 </w:t>
      </w:r>
      <w:r>
        <w:rPr>
          <w:rFonts w:eastAsia="Malgun Gothic"/>
          <w:lang w:val="en-US" w:eastAsia="ko-KR"/>
        </w:rPr>
        <w:t xml:space="preserve">meeting, RAN1 sends LS </w:t>
      </w:r>
      <w:r w:rsidR="0095186D">
        <w:rPr>
          <w:rFonts w:eastAsia="Malgun Gothic"/>
          <w:lang w:val="en-US" w:eastAsia="ko-KR"/>
        </w:rPr>
        <w:fldChar w:fldCharType="begin"/>
      </w:r>
      <w:r w:rsidR="0095186D">
        <w:rPr>
          <w:rFonts w:eastAsia="Malgun Gothic"/>
          <w:lang w:val="en-US" w:eastAsia="ko-KR"/>
        </w:rPr>
        <w:instrText xml:space="preserve"> REF _Ref19626732 \r \h </w:instrText>
      </w:r>
      <w:r w:rsidR="0095186D">
        <w:rPr>
          <w:rFonts w:eastAsia="Malgun Gothic"/>
          <w:lang w:val="en-US" w:eastAsia="ko-KR"/>
        </w:rPr>
      </w:r>
      <w:r w:rsidR="0095186D">
        <w:rPr>
          <w:rFonts w:eastAsia="Malgun Gothic"/>
          <w:lang w:val="en-US" w:eastAsia="ko-KR"/>
        </w:rPr>
        <w:fldChar w:fldCharType="separate"/>
      </w:r>
      <w:r w:rsidR="0095186D">
        <w:rPr>
          <w:rFonts w:eastAsia="Malgun Gothic"/>
          <w:lang w:val="en-US" w:eastAsia="ko-KR"/>
        </w:rPr>
        <w:t>[1]</w:t>
      </w:r>
      <w:r w:rsidR="0095186D">
        <w:rPr>
          <w:rFonts w:eastAsia="Malgun Gothic"/>
          <w:lang w:val="en-US" w:eastAsia="ko-KR"/>
        </w:rPr>
        <w:fldChar w:fldCharType="end"/>
      </w:r>
      <w:r w:rsidR="00014BE3">
        <w:rPr>
          <w:rFonts w:eastAsia="Malgun Gothic"/>
          <w:lang w:val="en-US" w:eastAsia="ko-KR"/>
        </w:rPr>
        <w:t xml:space="preserve"> </w:t>
      </w:r>
      <w:bookmarkStart w:id="0" w:name="_GoBack"/>
      <w:bookmarkEnd w:id="0"/>
      <w:r>
        <w:rPr>
          <w:rFonts w:eastAsia="Malgun Gothic"/>
          <w:lang w:val="en-US" w:eastAsia="ko-KR"/>
        </w:rPr>
        <w:t>to RAN2 to inform the agreement of BFR for SCell as follows:</w:t>
      </w:r>
    </w:p>
    <w:tbl>
      <w:tblPr>
        <w:tblStyle w:val="TableGrid"/>
        <w:tblW w:w="9114" w:type="dxa"/>
        <w:tblInd w:w="137" w:type="dxa"/>
        <w:tblLook w:val="04A0" w:firstRow="1" w:lastRow="0" w:firstColumn="1" w:lastColumn="0" w:noHBand="0" w:noVBand="1"/>
      </w:tblPr>
      <w:tblGrid>
        <w:gridCol w:w="9114"/>
      </w:tblGrid>
      <w:tr w:rsidR="00797F1B" w:rsidRPr="00797F1B" w14:paraId="78F6887C" w14:textId="77777777" w:rsidTr="00797F1B">
        <w:trPr>
          <w:trHeight w:val="1874"/>
        </w:trPr>
        <w:tc>
          <w:tcPr>
            <w:tcW w:w="9114" w:type="dxa"/>
          </w:tcPr>
          <w:p w14:paraId="74A9659F" w14:textId="375CCDD8" w:rsidR="00797F1B" w:rsidRPr="00797F1B" w:rsidRDefault="00797F1B" w:rsidP="00797F1B">
            <w:pPr>
              <w:kinsoku w:val="0"/>
              <w:autoSpaceDE/>
              <w:autoSpaceDN/>
              <w:adjustRightInd/>
              <w:spacing w:after="0"/>
              <w:jc w:val="left"/>
              <w:rPr>
                <w:rFonts w:ascii="Times New Roman" w:hAnsi="Times New Roman"/>
                <w:lang w:val="en-US"/>
              </w:rPr>
            </w:pPr>
            <w:r w:rsidRPr="00797F1B">
              <w:rPr>
                <w:rFonts w:cs="+mn-cs"/>
                <w:b/>
                <w:bCs/>
                <w:color w:val="353630"/>
                <w:kern w:val="24"/>
              </w:rPr>
              <w:t>Agreement</w:t>
            </w:r>
          </w:p>
          <w:p w14:paraId="21AC84E4" w14:textId="77777777" w:rsidR="00797F1B" w:rsidRPr="00797F1B" w:rsidRDefault="00797F1B" w:rsidP="00797F1B">
            <w:pPr>
              <w:kinsoku w:val="0"/>
              <w:autoSpaceDE/>
              <w:autoSpaceDN/>
              <w:adjustRightInd/>
              <w:spacing w:after="0"/>
              <w:jc w:val="left"/>
              <w:rPr>
                <w:rFonts w:ascii="Times New Roman" w:hAnsi="Times New Roman"/>
                <w:lang w:val="en-US"/>
              </w:rPr>
            </w:pPr>
            <w:r w:rsidRPr="00797F1B">
              <w:rPr>
                <w:rFonts w:cs="+mn-cs"/>
                <w:color w:val="353630"/>
                <w:kern w:val="24"/>
              </w:rPr>
              <w:t>On BFRQ procedure for SCell</w:t>
            </w:r>
          </w:p>
          <w:p w14:paraId="7272E9AE" w14:textId="77777777" w:rsidR="00797F1B" w:rsidRPr="00797F1B" w:rsidRDefault="00797F1B" w:rsidP="00797F1B">
            <w:pPr>
              <w:numPr>
                <w:ilvl w:val="0"/>
                <w:numId w:val="19"/>
              </w:numPr>
              <w:kinsoku w:val="0"/>
              <w:autoSpaceDE/>
              <w:autoSpaceDN/>
              <w:adjustRightInd/>
              <w:spacing w:after="0"/>
              <w:ind w:left="1166"/>
              <w:contextualSpacing/>
              <w:jc w:val="left"/>
              <w:rPr>
                <w:rFonts w:ascii="Times New Roman" w:hAnsi="Times New Roman"/>
                <w:lang w:val="en-US"/>
              </w:rPr>
            </w:pPr>
            <w:r w:rsidRPr="00797F1B">
              <w:rPr>
                <w:rFonts w:cs="+mn-cs"/>
                <w:color w:val="353630"/>
                <w:kern w:val="24"/>
              </w:rPr>
              <w:t>Step 1 can be carried by at least a dedicated SR-like PUCCH resource for BFR over PCell or PSCell</w:t>
            </w:r>
          </w:p>
          <w:p w14:paraId="3D7BA3A9" w14:textId="77777777" w:rsidR="00797F1B" w:rsidRPr="00797F1B" w:rsidRDefault="00797F1B" w:rsidP="00797F1B">
            <w:pPr>
              <w:numPr>
                <w:ilvl w:val="1"/>
                <w:numId w:val="19"/>
              </w:numPr>
              <w:kinsoku w:val="0"/>
              <w:autoSpaceDE/>
              <w:autoSpaceDN/>
              <w:adjustRightInd/>
              <w:spacing w:after="0"/>
              <w:ind w:left="2606"/>
              <w:contextualSpacing/>
              <w:jc w:val="left"/>
              <w:rPr>
                <w:rFonts w:ascii="Times New Roman" w:hAnsi="Times New Roman"/>
                <w:lang w:val="en-US"/>
              </w:rPr>
            </w:pPr>
            <w:r w:rsidRPr="00797F1B">
              <w:rPr>
                <w:rFonts w:cs="+mn-cs"/>
                <w:color w:val="353630"/>
                <w:kern w:val="24"/>
              </w:rPr>
              <w:t>FFS: Details including whether or not it is precluded that MAC CE in step 2 is multiplexed in a PUSCH not triggered by step 1</w:t>
            </w:r>
          </w:p>
          <w:p w14:paraId="4B425027" w14:textId="77777777" w:rsidR="00797F1B" w:rsidRPr="00797F1B" w:rsidRDefault="00797F1B" w:rsidP="00797F1B">
            <w:pPr>
              <w:numPr>
                <w:ilvl w:val="0"/>
                <w:numId w:val="19"/>
              </w:numPr>
              <w:kinsoku w:val="0"/>
              <w:autoSpaceDE/>
              <w:autoSpaceDN/>
              <w:adjustRightInd/>
              <w:spacing w:after="0"/>
              <w:ind w:left="1166"/>
              <w:contextualSpacing/>
              <w:jc w:val="left"/>
              <w:rPr>
                <w:rFonts w:ascii="Times New Roman" w:hAnsi="Times New Roman"/>
                <w:lang w:val="en-US"/>
              </w:rPr>
            </w:pPr>
            <w:r w:rsidRPr="00797F1B">
              <w:rPr>
                <w:rFonts w:cs="+mn-cs"/>
                <w:color w:val="353630"/>
                <w:kern w:val="24"/>
              </w:rPr>
              <w:t xml:space="preserve">(Working Assumption) Step 2 is carried by MAC CE </w:t>
            </w:r>
          </w:p>
          <w:p w14:paraId="458ACD65" w14:textId="2B1F4CC8" w:rsidR="00797F1B" w:rsidRPr="00797F1B" w:rsidRDefault="00797F1B" w:rsidP="00797F1B">
            <w:pPr>
              <w:kinsoku w:val="0"/>
              <w:autoSpaceDE/>
              <w:autoSpaceDN/>
              <w:adjustRightInd/>
              <w:spacing w:after="0"/>
              <w:jc w:val="left"/>
              <w:rPr>
                <w:rFonts w:eastAsia="Malgun Gothic"/>
                <w:sz w:val="24"/>
                <w:szCs w:val="24"/>
                <w:lang w:val="en-US" w:eastAsia="ko-KR"/>
              </w:rPr>
            </w:pPr>
            <w:r w:rsidRPr="00797F1B">
              <w:rPr>
                <w:rFonts w:cs="+mn-cs"/>
                <w:color w:val="353630"/>
                <w:kern w:val="24"/>
              </w:rPr>
              <w:t>Above applies at least for SCell with downlink only</w:t>
            </w:r>
          </w:p>
        </w:tc>
      </w:tr>
    </w:tbl>
    <w:p w14:paraId="245D2AA9" w14:textId="77777777" w:rsidR="00797F1B" w:rsidRDefault="00797F1B" w:rsidP="00CD3820">
      <w:pPr>
        <w:rPr>
          <w:rFonts w:eastAsia="Malgun Gothic"/>
          <w:lang w:val="en-US" w:eastAsia="ko-KR"/>
        </w:rPr>
      </w:pPr>
    </w:p>
    <w:tbl>
      <w:tblPr>
        <w:tblStyle w:val="TableGrid"/>
        <w:tblW w:w="0" w:type="auto"/>
        <w:tblInd w:w="137" w:type="dxa"/>
        <w:tblLook w:val="04A0" w:firstRow="1" w:lastRow="0" w:firstColumn="1" w:lastColumn="0" w:noHBand="0" w:noVBand="1"/>
      </w:tblPr>
      <w:tblGrid>
        <w:gridCol w:w="9213"/>
      </w:tblGrid>
      <w:tr w:rsidR="00CC4076" w14:paraId="4EB257E9" w14:textId="77777777" w:rsidTr="00CC4076">
        <w:tc>
          <w:tcPr>
            <w:tcW w:w="9213" w:type="dxa"/>
          </w:tcPr>
          <w:p w14:paraId="72F205C3" w14:textId="77777777" w:rsidR="00CC4076" w:rsidRPr="005D7ED3" w:rsidRDefault="00CC4076" w:rsidP="00CC4076">
            <w:pPr>
              <w:rPr>
                <w:rFonts w:ascii="Times" w:eastAsia="Batang" w:hAnsi="Times" w:hint="eastAsia"/>
                <w:b/>
                <w:highlight w:val="green"/>
              </w:rPr>
            </w:pPr>
            <w:r w:rsidRPr="00EE7297">
              <w:rPr>
                <w:b/>
                <w:highlight w:val="green"/>
              </w:rPr>
              <w:t>Agreement</w:t>
            </w:r>
            <w:r>
              <w:rPr>
                <w:b/>
                <w:highlight w:val="green"/>
              </w:rPr>
              <w:t xml:space="preserve"> </w:t>
            </w:r>
          </w:p>
          <w:p w14:paraId="49D40ED6" w14:textId="77777777" w:rsidR="00CC4076" w:rsidRPr="000D7BF0" w:rsidRDefault="00CC4076" w:rsidP="00CC4076">
            <w:pPr>
              <w:pStyle w:val="LGTdoc"/>
              <w:numPr>
                <w:ilvl w:val="0"/>
                <w:numId w:val="23"/>
              </w:numPr>
              <w:spacing w:afterLines="0" w:line="240" w:lineRule="auto"/>
              <w:ind w:left="720" w:hanging="320"/>
              <w:contextualSpacing/>
              <w:rPr>
                <w:rFonts w:ascii="Times" w:hAnsi="Times" w:cs="Times" w:hint="eastAsia"/>
                <w:sz w:val="20"/>
                <w:szCs w:val="20"/>
                <w:lang w:val="en-US"/>
              </w:rPr>
            </w:pPr>
            <w:r w:rsidRPr="000D7BF0">
              <w:rPr>
                <w:rFonts w:ascii="Times" w:hAnsi="Times" w:cs="Times"/>
                <w:sz w:val="20"/>
                <w:szCs w:val="20"/>
                <w:lang w:val="en-US"/>
              </w:rPr>
              <w:t>When SCell BFR is configured and RS for new beam identification is configured, the threshold for new beam identification should be always configured</w:t>
            </w:r>
          </w:p>
          <w:p w14:paraId="7446798F" w14:textId="32FE401D" w:rsidR="00CC4076" w:rsidRDefault="00CC4076" w:rsidP="00CC4076">
            <w:pPr>
              <w:pStyle w:val="LGTdoc"/>
              <w:numPr>
                <w:ilvl w:val="0"/>
                <w:numId w:val="23"/>
              </w:numPr>
              <w:spacing w:afterLines="0" w:line="240" w:lineRule="auto"/>
              <w:ind w:left="720" w:hanging="320"/>
              <w:contextualSpacing/>
              <w:rPr>
                <w:rFonts w:eastAsia="Malgun Gothic"/>
                <w:lang w:val="en-US"/>
              </w:rPr>
            </w:pPr>
            <w:r w:rsidRPr="000D7BF0">
              <w:rPr>
                <w:rFonts w:ascii="Times" w:hAnsi="Times" w:cs="Times"/>
                <w:sz w:val="20"/>
                <w:szCs w:val="20"/>
                <w:lang w:val="en-US"/>
              </w:rPr>
              <w:t>If a SCell has failed, when there is no new beam with L1-RSRP higher than configured threshold for SCell BFR, for new beam information reporting, UE reports that there is no new beam identified for the SCell</w:t>
            </w:r>
          </w:p>
        </w:tc>
      </w:tr>
    </w:tbl>
    <w:p w14:paraId="06216E59" w14:textId="77777777" w:rsidR="00CC4076" w:rsidRDefault="00CC4076" w:rsidP="00CD3820">
      <w:pPr>
        <w:rPr>
          <w:rFonts w:eastAsia="Malgun Gothic"/>
          <w:lang w:val="en-US" w:eastAsia="ko-KR"/>
        </w:rPr>
      </w:pPr>
    </w:p>
    <w:p w14:paraId="4B68BDE3" w14:textId="51BAF0BD" w:rsidR="00797F1B" w:rsidRPr="00797F1B" w:rsidRDefault="00797F1B" w:rsidP="00CD3820">
      <w:pPr>
        <w:rPr>
          <w:rFonts w:eastAsia="Malgun Gothic"/>
          <w:lang w:eastAsia="ko-KR"/>
        </w:rPr>
      </w:pPr>
      <w:r>
        <w:rPr>
          <w:rFonts w:eastAsia="Malgun Gothic"/>
          <w:lang w:val="en-US" w:eastAsia="ko-KR"/>
        </w:rPr>
        <w:t>In RAN2#107 meeting</w:t>
      </w:r>
      <w:r w:rsidR="0095186D">
        <w:rPr>
          <w:rFonts w:eastAsia="Malgun Gothic"/>
          <w:lang w:val="en-US" w:eastAsia="ko-KR"/>
        </w:rPr>
        <w:fldChar w:fldCharType="begin"/>
      </w:r>
      <w:r w:rsidR="0095186D">
        <w:rPr>
          <w:rFonts w:eastAsia="Malgun Gothic"/>
          <w:lang w:val="en-US" w:eastAsia="ko-KR"/>
        </w:rPr>
        <w:instrText xml:space="preserve"> REF _Ref19626735 \r \h </w:instrText>
      </w:r>
      <w:r w:rsidR="0095186D">
        <w:rPr>
          <w:rFonts w:eastAsia="Malgun Gothic"/>
          <w:lang w:val="en-US" w:eastAsia="ko-KR"/>
        </w:rPr>
      </w:r>
      <w:r w:rsidR="0095186D">
        <w:rPr>
          <w:rFonts w:eastAsia="Malgun Gothic"/>
          <w:lang w:val="en-US" w:eastAsia="ko-KR"/>
        </w:rPr>
        <w:fldChar w:fldCharType="separate"/>
      </w:r>
      <w:r w:rsidR="0095186D">
        <w:rPr>
          <w:rFonts w:eastAsia="Malgun Gothic"/>
          <w:lang w:val="en-US" w:eastAsia="ko-KR"/>
        </w:rPr>
        <w:t>[2]</w:t>
      </w:r>
      <w:r w:rsidR="0095186D">
        <w:rPr>
          <w:rFonts w:eastAsia="Malgun Gothic"/>
          <w:lang w:val="en-US" w:eastAsia="ko-KR"/>
        </w:rPr>
        <w:fldChar w:fldCharType="end"/>
      </w:r>
      <w:r>
        <w:rPr>
          <w:rFonts w:eastAsia="Malgun Gothic"/>
          <w:lang w:val="en-US" w:eastAsia="ko-KR"/>
        </w:rPr>
        <w:t xml:space="preserve">, RAN2 sends LS to RAN1 to conform that </w:t>
      </w:r>
      <w:r w:rsidR="00450BAF">
        <w:rPr>
          <w:rFonts w:cs="Arial"/>
          <w:lang w:val="en-US"/>
        </w:rPr>
        <w:t xml:space="preserve">working assumption to introduce </w:t>
      </w:r>
      <w:r w:rsidR="00450BAF" w:rsidRPr="00F67BF7">
        <w:rPr>
          <w:rFonts w:cs="Arial"/>
          <w:lang w:val="en-US"/>
        </w:rPr>
        <w:t xml:space="preserve">MAC CE </w:t>
      </w:r>
      <w:r w:rsidR="00450BAF">
        <w:rPr>
          <w:rFonts w:cs="Arial"/>
          <w:lang w:val="en-US"/>
        </w:rPr>
        <w:t>for SCell BFR is feasible from RAN2 point of view</w:t>
      </w:r>
      <w:r w:rsidR="00E85A2C">
        <w:rPr>
          <w:rFonts w:cs="Arial"/>
          <w:lang w:val="en-US"/>
        </w:rPr>
        <w:t>. Besides</w:t>
      </w:r>
      <w:r>
        <w:rPr>
          <w:rFonts w:eastAsia="Malgun Gothic"/>
          <w:lang w:val="en-US" w:eastAsia="ko-KR"/>
        </w:rPr>
        <w:t xml:space="preserve">, </w:t>
      </w:r>
      <w:r w:rsidR="00E85A2C">
        <w:rPr>
          <w:rFonts w:eastAsia="Malgun Gothic"/>
          <w:lang w:val="en-US" w:eastAsia="ko-KR"/>
        </w:rPr>
        <w:t>RAN2</w:t>
      </w:r>
      <w:r>
        <w:rPr>
          <w:rFonts w:eastAsia="Malgun Gothic"/>
          <w:lang w:val="en-US" w:eastAsia="ko-KR"/>
        </w:rPr>
        <w:t xml:space="preserve"> ask for details of the BFR procedure/configuration </w:t>
      </w:r>
      <w:r w:rsidR="0095186D">
        <w:rPr>
          <w:rFonts w:eastAsia="Malgun Gothic"/>
          <w:lang w:val="en-US" w:eastAsia="ko-KR"/>
        </w:rPr>
        <w:fldChar w:fldCharType="begin"/>
      </w:r>
      <w:r w:rsidR="0095186D">
        <w:rPr>
          <w:rFonts w:eastAsia="Malgun Gothic"/>
          <w:lang w:val="en-US" w:eastAsia="ko-KR"/>
        </w:rPr>
        <w:instrText xml:space="preserve"> REF _Ref19626744 \r \h </w:instrText>
      </w:r>
      <w:r w:rsidR="0095186D">
        <w:rPr>
          <w:rFonts w:eastAsia="Malgun Gothic"/>
          <w:lang w:val="en-US" w:eastAsia="ko-KR"/>
        </w:rPr>
      </w:r>
      <w:r w:rsidR="0095186D">
        <w:rPr>
          <w:rFonts w:eastAsia="Malgun Gothic"/>
          <w:lang w:val="en-US" w:eastAsia="ko-KR"/>
        </w:rPr>
        <w:fldChar w:fldCharType="separate"/>
      </w:r>
      <w:r w:rsidR="0095186D">
        <w:rPr>
          <w:rFonts w:eastAsia="Malgun Gothic"/>
          <w:lang w:val="en-US" w:eastAsia="ko-KR"/>
        </w:rPr>
        <w:t>[3]</w:t>
      </w:r>
      <w:r w:rsidR="0095186D">
        <w:rPr>
          <w:rFonts w:eastAsia="Malgun Gothic"/>
          <w:lang w:val="en-US" w:eastAsia="ko-KR"/>
        </w:rPr>
        <w:fldChar w:fldCharType="end"/>
      </w:r>
      <w:r>
        <w:rPr>
          <w:rFonts w:eastAsia="Malgun Gothic"/>
          <w:lang w:val="en-US" w:eastAsia="ko-KR"/>
        </w:rPr>
        <w:t xml:space="preserve">. In the same week, RAN1 provides a reply LS in </w:t>
      </w:r>
      <w:r w:rsidR="0095186D">
        <w:rPr>
          <w:rFonts w:eastAsia="Malgun Gothic"/>
          <w:lang w:val="en-US" w:eastAsia="ko-KR"/>
        </w:rPr>
        <w:fldChar w:fldCharType="begin"/>
      </w:r>
      <w:r w:rsidR="0095186D">
        <w:rPr>
          <w:rFonts w:eastAsia="Malgun Gothic"/>
          <w:lang w:val="en-US" w:eastAsia="ko-KR"/>
        </w:rPr>
        <w:instrText xml:space="preserve"> REF _Ref19626750 \r \h </w:instrText>
      </w:r>
      <w:r w:rsidR="0095186D">
        <w:rPr>
          <w:rFonts w:eastAsia="Malgun Gothic"/>
          <w:lang w:val="en-US" w:eastAsia="ko-KR"/>
        </w:rPr>
      </w:r>
      <w:r w:rsidR="0095186D">
        <w:rPr>
          <w:rFonts w:eastAsia="Malgun Gothic"/>
          <w:lang w:val="en-US" w:eastAsia="ko-KR"/>
        </w:rPr>
        <w:fldChar w:fldCharType="separate"/>
      </w:r>
      <w:r w:rsidR="0095186D">
        <w:rPr>
          <w:rFonts w:eastAsia="Malgun Gothic"/>
          <w:lang w:val="en-US" w:eastAsia="ko-KR"/>
        </w:rPr>
        <w:t>[4]</w:t>
      </w:r>
      <w:r w:rsidR="0095186D">
        <w:rPr>
          <w:rFonts w:eastAsia="Malgun Gothic"/>
          <w:lang w:val="en-US" w:eastAsia="ko-KR"/>
        </w:rPr>
        <w:fldChar w:fldCharType="end"/>
      </w:r>
      <w:r w:rsidR="0095186D">
        <w:rPr>
          <w:rFonts w:eastAsia="Malgun Gothic"/>
          <w:lang w:val="en-US" w:eastAsia="ko-KR"/>
        </w:rPr>
        <w:t xml:space="preserve"> </w:t>
      </w:r>
      <w:r>
        <w:rPr>
          <w:rFonts w:eastAsia="Malgun Gothic"/>
          <w:lang w:eastAsia="ko-KR"/>
        </w:rPr>
        <w:t>answering RAN2’s questions:</w:t>
      </w:r>
    </w:p>
    <w:p w14:paraId="0C497E2B" w14:textId="77777777" w:rsidR="00797F1B" w:rsidRDefault="00797F1B" w:rsidP="00CD3820">
      <w:pPr>
        <w:rPr>
          <w:rFonts w:eastAsia="Malgun Gothic"/>
          <w:lang w:val="en-US" w:eastAsia="ko-KR"/>
        </w:rPr>
      </w:pPr>
    </w:p>
    <w:tbl>
      <w:tblPr>
        <w:tblStyle w:val="TableGrid"/>
        <w:tblW w:w="0" w:type="auto"/>
        <w:tblLook w:val="04A0" w:firstRow="1" w:lastRow="0" w:firstColumn="1" w:lastColumn="0" w:noHBand="0" w:noVBand="1"/>
      </w:tblPr>
      <w:tblGrid>
        <w:gridCol w:w="9350"/>
      </w:tblGrid>
      <w:tr w:rsidR="00797F1B" w14:paraId="54D2ADA0" w14:textId="77777777" w:rsidTr="00797F1B">
        <w:tc>
          <w:tcPr>
            <w:tcW w:w="9350" w:type="dxa"/>
          </w:tcPr>
          <w:p w14:paraId="4ADAEF17"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r w:rsidRPr="00797F1B">
              <w:rPr>
                <w:rFonts w:ascii="Times New Roman" w:eastAsia="SimSun" w:hAnsi="Times New Roman"/>
                <w:b/>
                <w:lang w:val="en-US" w:eastAsia="en-US"/>
              </w:rPr>
              <w:t>Q1:</w:t>
            </w:r>
            <w:r w:rsidRPr="00797F1B">
              <w:rPr>
                <w:rFonts w:ascii="Times New Roman" w:eastAsia="SimSun" w:hAnsi="Times New Roman"/>
                <w:lang w:val="en-US" w:eastAsia="en-US"/>
              </w:rPr>
              <w:t xml:space="preserve"> Can the UE transmit BFR MAC CE using UL grant of any serving cell or should there be a restriction not to send it on failed serving cell(s)?</w:t>
            </w:r>
          </w:p>
          <w:p w14:paraId="4C131095"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r w:rsidRPr="00797F1B">
              <w:rPr>
                <w:rFonts w:ascii="Times New Roman" w:eastAsia="SimSun" w:hAnsi="Times New Roman"/>
                <w:b/>
                <w:lang w:val="en-US" w:eastAsia="en-US"/>
              </w:rPr>
              <w:t>R1:</w:t>
            </w:r>
            <w:r w:rsidRPr="00797F1B">
              <w:rPr>
                <w:rFonts w:ascii="Times New Roman" w:eastAsia="SimSun" w:hAnsi="Times New Roman"/>
                <w:lang w:val="en-US" w:eastAsia="en-US"/>
              </w:rPr>
              <w:t xml:space="preserve"> At least from RAN1 perspective, there is no need for introducing such restrictions on MAC CE transmission for BFR in Rel-16.</w:t>
            </w:r>
          </w:p>
          <w:p w14:paraId="12700C0F"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p>
          <w:p w14:paraId="6F8B4C73"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r w:rsidRPr="00797F1B">
              <w:rPr>
                <w:rFonts w:ascii="Times New Roman" w:eastAsia="SimSun" w:hAnsi="Times New Roman"/>
                <w:b/>
                <w:lang w:val="en-US" w:eastAsia="en-US"/>
              </w:rPr>
              <w:t>Q2:</w:t>
            </w:r>
            <w:r w:rsidRPr="00797F1B">
              <w:rPr>
                <w:rFonts w:ascii="Times New Roman" w:eastAsia="SimSun" w:hAnsi="Times New Roman"/>
                <w:lang w:val="en-US" w:eastAsia="en-US"/>
              </w:rPr>
              <w:t xml:space="preserve"> If the UE already has the UL grant on serving cell(s) on which BFR MAC CE can be transmitted based on the answer to question 1, is the UE still required to transmit SR-like indication for BFR?</w:t>
            </w:r>
          </w:p>
          <w:p w14:paraId="4E00D009"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r w:rsidRPr="00797F1B">
              <w:rPr>
                <w:rFonts w:ascii="Times New Roman" w:eastAsia="SimSun" w:hAnsi="Times New Roman"/>
                <w:b/>
                <w:lang w:val="en-US" w:eastAsia="en-US"/>
              </w:rPr>
              <w:t xml:space="preserve">R2: </w:t>
            </w:r>
            <w:r w:rsidRPr="00797F1B">
              <w:rPr>
                <w:rFonts w:ascii="Times New Roman" w:eastAsia="SimSun" w:hAnsi="Times New Roman"/>
                <w:lang w:val="en-US" w:eastAsia="en-US"/>
              </w:rPr>
              <w:t>In this case, UE is not required to transmit SR-like indication for SCell BFR.</w:t>
            </w:r>
          </w:p>
          <w:p w14:paraId="1039D7A4"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p>
          <w:p w14:paraId="16127769"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r w:rsidRPr="00797F1B">
              <w:rPr>
                <w:rFonts w:ascii="Times New Roman" w:eastAsia="SimSun" w:hAnsi="Times New Roman"/>
                <w:b/>
                <w:lang w:val="en-US" w:eastAsia="en-US"/>
              </w:rPr>
              <w:t>Q3:</w:t>
            </w:r>
            <w:r w:rsidRPr="00797F1B">
              <w:rPr>
                <w:rFonts w:ascii="Times New Roman" w:eastAsia="SimSun" w:hAnsi="Times New Roman"/>
                <w:lang w:val="en-US" w:eastAsia="en-US"/>
              </w:rPr>
              <w:t xml:space="preserve"> Is there a case where the SR-like dedicated PUCCH resource for SCell BFR is not configured? If the SR-like dedicated PUCCH resource is not configured, one possible option being considered by RAN2 is that the UE </w:t>
            </w:r>
            <w:r w:rsidRPr="00797F1B">
              <w:rPr>
                <w:rFonts w:ascii="Times New Roman" w:eastAsia="SimSun" w:hAnsi="Times New Roman"/>
                <w:lang w:val="en-US" w:eastAsia="en-US"/>
              </w:rPr>
              <w:lastRenderedPageBreak/>
              <w:t>follows the existing framework for requesting uplink resources when no uplink resources are available (i.e. performs CBRA on SpCell).</w:t>
            </w:r>
          </w:p>
          <w:p w14:paraId="5D7BBFE6"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r w:rsidRPr="00797F1B">
              <w:rPr>
                <w:rFonts w:ascii="Times New Roman" w:eastAsia="SimSun" w:hAnsi="Times New Roman"/>
                <w:b/>
                <w:lang w:val="en-US" w:eastAsia="en-US"/>
              </w:rPr>
              <w:t>R3:</w:t>
            </w:r>
            <w:r w:rsidRPr="00797F1B">
              <w:rPr>
                <w:rFonts w:ascii="Times New Roman" w:eastAsia="SimSun" w:hAnsi="Times New Roman"/>
                <w:lang w:val="en-US" w:eastAsia="en-US"/>
              </w:rPr>
              <w:t xml:space="preserve"> RAN1 did not discuss this case. RAN1 plans to conclude on this by RAN1#98bis.</w:t>
            </w:r>
          </w:p>
          <w:p w14:paraId="6F7DC2B4"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p>
          <w:p w14:paraId="46A35FA9"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r w:rsidRPr="00797F1B">
              <w:rPr>
                <w:rFonts w:ascii="Times New Roman" w:eastAsia="SimSun" w:hAnsi="Times New Roman"/>
                <w:b/>
                <w:lang w:val="en-US" w:eastAsia="en-US"/>
              </w:rPr>
              <w:t>Q4:</w:t>
            </w:r>
            <w:r w:rsidRPr="00797F1B">
              <w:rPr>
                <w:rFonts w:ascii="Times New Roman" w:eastAsia="SimSun" w:hAnsi="Times New Roman"/>
                <w:lang w:val="en-US" w:eastAsia="en-US"/>
              </w:rPr>
              <w:t xml:space="preserve"> </w:t>
            </w:r>
            <w:r w:rsidRPr="00797F1B">
              <w:rPr>
                <w:rFonts w:ascii="Times New Roman" w:eastAsia="SimSun" w:hAnsi="Times New Roman"/>
                <w:lang w:eastAsia="en-US"/>
              </w:rPr>
              <w:t xml:space="preserve">Is the </w:t>
            </w:r>
            <w:r w:rsidRPr="00797F1B">
              <w:rPr>
                <w:rFonts w:ascii="Times New Roman" w:eastAsia="SimSun" w:hAnsi="Times New Roman"/>
                <w:lang w:val="en-US" w:eastAsia="en-US"/>
              </w:rPr>
              <w:t>SR-like dedicated PUCCH resource for SCell BFR configured for each SCell separately or is it common for all SCell(s) of the same cell group (i.e. MCG/SCG)?</w:t>
            </w:r>
          </w:p>
          <w:p w14:paraId="0499C25F"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rPr>
            </w:pPr>
            <w:r w:rsidRPr="00797F1B">
              <w:rPr>
                <w:rFonts w:ascii="Times New Roman" w:eastAsia="SimSun" w:hAnsi="Times New Roman"/>
                <w:b/>
                <w:lang w:val="en-US" w:eastAsia="en-US"/>
              </w:rPr>
              <w:t>R4</w:t>
            </w:r>
            <w:r w:rsidRPr="00797F1B">
              <w:rPr>
                <w:rFonts w:ascii="Times New Roman" w:eastAsia="SimSun" w:hAnsi="Times New Roman" w:hint="eastAsia"/>
                <w:b/>
                <w:lang w:val="en-US"/>
              </w:rPr>
              <w:t>:</w:t>
            </w:r>
            <w:r w:rsidRPr="00797F1B">
              <w:rPr>
                <w:rFonts w:ascii="Times New Roman" w:eastAsia="SimSun" w:hAnsi="Times New Roman"/>
                <w:b/>
                <w:lang w:val="en-US"/>
              </w:rPr>
              <w:t xml:space="preserve"> </w:t>
            </w:r>
            <w:r w:rsidRPr="00797F1B">
              <w:rPr>
                <w:rFonts w:ascii="Times New Roman" w:eastAsia="SimSun" w:hAnsi="Times New Roman"/>
                <w:lang w:val="en-US"/>
              </w:rPr>
              <w:t xml:space="preserve">The SR-like dedicated PUCCH resource for SCell BFR is not configured separately for each SCell. </w:t>
            </w:r>
          </w:p>
          <w:p w14:paraId="19C2602D"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p>
          <w:p w14:paraId="50F05186"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eastAsia="en-US"/>
              </w:rPr>
            </w:pPr>
            <w:r w:rsidRPr="00797F1B">
              <w:rPr>
                <w:rFonts w:ascii="Times New Roman" w:eastAsia="SimSun" w:hAnsi="Times New Roman"/>
                <w:b/>
                <w:lang w:val="en-US" w:eastAsia="en-US"/>
              </w:rPr>
              <w:t>Q5:</w:t>
            </w:r>
            <w:r w:rsidRPr="00797F1B">
              <w:rPr>
                <w:rFonts w:ascii="Times New Roman" w:eastAsia="SimSun" w:hAnsi="Times New Roman"/>
                <w:lang w:val="en-US" w:eastAsia="en-US"/>
              </w:rPr>
              <w:t xml:space="preserve"> </w:t>
            </w:r>
            <w:r w:rsidRPr="00797F1B">
              <w:rPr>
                <w:rFonts w:ascii="Times New Roman" w:eastAsia="SimSun" w:hAnsi="Times New Roman"/>
                <w:lang w:eastAsia="en-US"/>
              </w:rPr>
              <w:t>What conditions are used for the (successful) completion of the SCell BFR?</w:t>
            </w:r>
          </w:p>
          <w:p w14:paraId="4140EAFB" w14:textId="388E362C"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val="en-US" w:eastAsia="en-US"/>
              </w:rPr>
            </w:pPr>
            <w:r w:rsidRPr="00797F1B">
              <w:rPr>
                <w:rFonts w:ascii="Times New Roman" w:eastAsia="SimSun" w:hAnsi="Times New Roman"/>
                <w:b/>
                <w:lang w:eastAsia="en-US"/>
              </w:rPr>
              <w:t xml:space="preserve">R5: </w:t>
            </w:r>
            <w:r w:rsidRPr="00797F1B">
              <w:rPr>
                <w:rFonts w:ascii="Times New Roman" w:eastAsia="SimSun" w:hAnsi="Times New Roman"/>
                <w:bCs/>
                <w:lang w:val="en-US" w:eastAsia="en-US"/>
              </w:rPr>
              <w:t xml:space="preserve">When UE receives beam failure recovery response (BFRR) to step 2, UE can consider BFR procedure is finished, where the </w:t>
            </w:r>
            <w:r w:rsidRPr="00797F1B">
              <w:rPr>
                <w:rFonts w:ascii="Times New Roman" w:eastAsia="SimSun" w:hAnsi="Times New Roman"/>
                <w:lang w:val="en-US"/>
              </w:rPr>
              <w:t>BFRR to step 2 is a normal uplink grant to schedule a new transmission for the same HARQ process as PUSCH carrying the step 2 MAC CE, which is the same as normal “ACK” for PUSCH.</w:t>
            </w:r>
          </w:p>
          <w:p w14:paraId="72836BE8"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lang w:eastAsia="en-US"/>
              </w:rPr>
            </w:pPr>
          </w:p>
          <w:p w14:paraId="36CFA37C"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i/>
                <w:iCs/>
                <w:u w:val="single"/>
              </w:rPr>
            </w:pPr>
            <w:r w:rsidRPr="00797F1B">
              <w:rPr>
                <w:rFonts w:ascii="Times New Roman" w:eastAsia="SimSun" w:hAnsi="Times New Roman"/>
                <w:i/>
                <w:iCs/>
                <w:u w:val="single"/>
              </w:rPr>
              <w:t>Additional information</w:t>
            </w:r>
          </w:p>
          <w:p w14:paraId="56BF9DCB" w14:textId="77777777" w:rsidR="00797F1B" w:rsidRPr="00797F1B" w:rsidRDefault="00797F1B" w:rsidP="00797F1B">
            <w:pPr>
              <w:tabs>
                <w:tab w:val="center" w:pos="4153"/>
                <w:tab w:val="right" w:pos="8306"/>
              </w:tabs>
              <w:overflowPunct/>
              <w:autoSpaceDE/>
              <w:autoSpaceDN/>
              <w:adjustRightInd/>
              <w:jc w:val="left"/>
              <w:textAlignment w:val="auto"/>
              <w:rPr>
                <w:rFonts w:ascii="Times New Roman" w:eastAsia="SimSun" w:hAnsi="Times New Roman"/>
              </w:rPr>
            </w:pPr>
            <w:r w:rsidRPr="00797F1B">
              <w:rPr>
                <w:rFonts w:ascii="Times New Roman" w:eastAsia="SimSun" w:hAnsi="Times New Roman"/>
              </w:rPr>
              <w:t>RAN1 would like to provide the following additional information on SCell BFR to RAN2.</w:t>
            </w:r>
          </w:p>
          <w:p w14:paraId="1015551B" w14:textId="77777777" w:rsidR="00797F1B" w:rsidRPr="00797F1B" w:rsidRDefault="00797F1B" w:rsidP="00797F1B">
            <w:pPr>
              <w:numPr>
                <w:ilvl w:val="0"/>
                <w:numId w:val="20"/>
              </w:numPr>
              <w:tabs>
                <w:tab w:val="center" w:pos="4153"/>
                <w:tab w:val="right" w:pos="8306"/>
              </w:tabs>
              <w:overflowPunct/>
              <w:autoSpaceDE/>
              <w:autoSpaceDN/>
              <w:adjustRightInd/>
              <w:spacing w:after="0"/>
              <w:jc w:val="left"/>
              <w:textAlignment w:val="auto"/>
              <w:rPr>
                <w:rFonts w:ascii="Times New Roman" w:eastAsia="SimSun" w:hAnsi="Times New Roman"/>
              </w:rPr>
            </w:pPr>
            <w:r w:rsidRPr="00797F1B">
              <w:rPr>
                <w:rFonts w:ascii="Times New Roman" w:eastAsia="SimSun" w:hAnsi="Times New Roman" w:hint="eastAsia"/>
              </w:rPr>
              <w:t>R</w:t>
            </w:r>
            <w:r w:rsidRPr="00797F1B">
              <w:rPr>
                <w:rFonts w:ascii="Times New Roman" w:eastAsia="SimSun" w:hAnsi="Times New Roman"/>
              </w:rPr>
              <w:t>AN1 suggests RAN2 to give higher priority for SCell BFR MAC CE than at least UL data, and also higher priority for SCell BFR PUCCH than normal SR</w:t>
            </w:r>
          </w:p>
          <w:p w14:paraId="1D6EB6EA" w14:textId="77777777" w:rsidR="00797F1B" w:rsidRPr="00797F1B" w:rsidRDefault="00797F1B" w:rsidP="00797F1B">
            <w:pPr>
              <w:numPr>
                <w:ilvl w:val="0"/>
                <w:numId w:val="20"/>
              </w:numPr>
              <w:tabs>
                <w:tab w:val="center" w:pos="4153"/>
                <w:tab w:val="right" w:pos="8306"/>
              </w:tabs>
              <w:overflowPunct/>
              <w:autoSpaceDE/>
              <w:autoSpaceDN/>
              <w:adjustRightInd/>
              <w:spacing w:after="0"/>
              <w:jc w:val="left"/>
              <w:textAlignment w:val="auto"/>
              <w:rPr>
                <w:rFonts w:ascii="Times New Roman" w:eastAsia="SimSun" w:hAnsi="Times New Roman"/>
              </w:rPr>
            </w:pPr>
            <w:r w:rsidRPr="00797F1B">
              <w:rPr>
                <w:rFonts w:ascii="Times New Roman" w:eastAsia="SimSun" w:hAnsi="Times New Roman"/>
              </w:rPr>
              <w:t>The details on MAC CE for BFR, and whether to transmit a MAC CE to carry BFRQ information for 1 SCell or multiple SCells is up to RAN2</w:t>
            </w:r>
          </w:p>
          <w:p w14:paraId="3B6BFB23" w14:textId="77777777" w:rsidR="00797F1B" w:rsidRPr="00797F1B" w:rsidRDefault="00797F1B" w:rsidP="00797F1B">
            <w:pPr>
              <w:numPr>
                <w:ilvl w:val="0"/>
                <w:numId w:val="20"/>
              </w:numPr>
              <w:tabs>
                <w:tab w:val="center" w:pos="4153"/>
                <w:tab w:val="right" w:pos="8306"/>
              </w:tabs>
              <w:overflowPunct/>
              <w:autoSpaceDE/>
              <w:autoSpaceDN/>
              <w:adjustRightInd/>
              <w:spacing w:after="0"/>
              <w:jc w:val="left"/>
              <w:textAlignment w:val="auto"/>
              <w:rPr>
                <w:rFonts w:ascii="Times New Roman" w:eastAsia="SimSun" w:hAnsi="Times New Roman"/>
              </w:rPr>
            </w:pPr>
            <w:r w:rsidRPr="00797F1B">
              <w:rPr>
                <w:rFonts w:ascii="Times New Roman" w:eastAsia="SimSun" w:hAnsi="Times New Roman"/>
              </w:rPr>
              <w:t>RAN1 identified that beam failure on multiple SCells can occur simultaneously but have not reached consensus on how often this occurs</w:t>
            </w:r>
          </w:p>
          <w:p w14:paraId="4D050662" w14:textId="77777777" w:rsidR="00797F1B" w:rsidRPr="00797F1B" w:rsidRDefault="00797F1B" w:rsidP="00CD3820">
            <w:pPr>
              <w:rPr>
                <w:rFonts w:eastAsia="Malgun Gothic"/>
                <w:lang w:eastAsia="ko-KR"/>
              </w:rPr>
            </w:pPr>
          </w:p>
        </w:tc>
      </w:tr>
    </w:tbl>
    <w:p w14:paraId="367B0F2E" w14:textId="77777777" w:rsidR="00797F1B" w:rsidRDefault="00797F1B" w:rsidP="00CD3820">
      <w:pPr>
        <w:rPr>
          <w:rFonts w:eastAsia="Malgun Gothic"/>
          <w:lang w:val="en-US" w:eastAsia="ko-KR"/>
        </w:rPr>
      </w:pPr>
    </w:p>
    <w:p w14:paraId="42C10243" w14:textId="77777777" w:rsidR="00797F1B" w:rsidRDefault="00797F1B" w:rsidP="00CD3820">
      <w:pPr>
        <w:rPr>
          <w:rFonts w:eastAsia="Malgun Gothic"/>
          <w:lang w:val="en-US" w:eastAsia="ko-KR"/>
        </w:rPr>
      </w:pPr>
    </w:p>
    <w:p w14:paraId="625A5458" w14:textId="5DB7838A" w:rsidR="00861035" w:rsidRDefault="00861035"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861035">
        <w:rPr>
          <w:rFonts w:ascii="Arial" w:eastAsia="Malgun Gothic" w:hAnsi="Arial" w:cs="Times New Roman"/>
          <w:color w:val="auto"/>
          <w:sz w:val="36"/>
          <w:szCs w:val="20"/>
          <w:lang w:val="en-US" w:eastAsia="ko-KR"/>
        </w:rPr>
        <w:t>Discussion</w:t>
      </w:r>
    </w:p>
    <w:p w14:paraId="3DCE784F" w14:textId="77777777" w:rsidR="00AB5CBE" w:rsidRDefault="00AB5CBE" w:rsidP="00937FDA">
      <w:pPr>
        <w:pStyle w:val="CRCoverPage"/>
        <w:spacing w:before="120"/>
        <w:jc w:val="both"/>
        <w:rPr>
          <w:rFonts w:eastAsia="Malgun Gothic"/>
          <w:b/>
          <w:lang w:val="en-US" w:eastAsia="ko-KR"/>
        </w:rPr>
      </w:pPr>
    </w:p>
    <w:p w14:paraId="0024F990" w14:textId="0DE92E6A" w:rsidR="000C4220" w:rsidRDefault="000C4220" w:rsidP="000C4220">
      <w:pPr>
        <w:pStyle w:val="Heading2"/>
        <w:numPr>
          <w:ilvl w:val="1"/>
          <w:numId w:val="3"/>
        </w:numPr>
        <w:ind w:left="0" w:firstLine="0"/>
        <w:rPr>
          <w:rFonts w:eastAsia="Malgun Gothic"/>
          <w:lang w:val="en-US" w:eastAsia="ko-KR"/>
        </w:rPr>
      </w:pPr>
      <w:r>
        <w:rPr>
          <w:rFonts w:eastAsia="Malgun Gothic"/>
          <w:lang w:val="en-US" w:eastAsia="ko-KR"/>
        </w:rPr>
        <w:t xml:space="preserve">Procedure for transmission of </w:t>
      </w:r>
      <w:r w:rsidRPr="000C4220">
        <w:rPr>
          <w:rFonts w:eastAsia="Malgun Gothic"/>
          <w:lang w:val="en-US" w:eastAsia="ko-KR"/>
        </w:rPr>
        <w:t>SR-like indication</w:t>
      </w:r>
    </w:p>
    <w:p w14:paraId="3B3CCCE5" w14:textId="77777777" w:rsidR="00591837" w:rsidRDefault="00591837" w:rsidP="00591837">
      <w:pPr>
        <w:rPr>
          <w:rFonts w:eastAsia="Malgun Gothic"/>
          <w:lang w:val="en-US" w:eastAsia="ko-KR"/>
        </w:rPr>
      </w:pPr>
    </w:p>
    <w:p w14:paraId="63AF1A78" w14:textId="60F3AB88" w:rsidR="00591837" w:rsidRDefault="00591837" w:rsidP="00591837">
      <w:pPr>
        <w:rPr>
          <w:rFonts w:eastAsia="Malgun Gothic"/>
          <w:lang w:val="en-US" w:eastAsia="ko-KR"/>
        </w:rPr>
      </w:pPr>
      <w:r>
        <w:rPr>
          <w:rFonts w:eastAsia="Malgun Gothic"/>
          <w:lang w:val="en-US" w:eastAsia="ko-KR"/>
        </w:rPr>
        <w:t>Based on RAN1’ LS response, we have two observations:</w:t>
      </w:r>
    </w:p>
    <w:p w14:paraId="2AECFEB2" w14:textId="3397DDB0" w:rsidR="00591837" w:rsidRDefault="00591837" w:rsidP="00591837">
      <w:pPr>
        <w:pStyle w:val="ListParagraph"/>
        <w:numPr>
          <w:ilvl w:val="0"/>
          <w:numId w:val="21"/>
        </w:numPr>
        <w:rPr>
          <w:rFonts w:eastAsia="Malgun Gothic"/>
          <w:lang w:val="en-US" w:eastAsia="ko-KR"/>
        </w:rPr>
      </w:pPr>
      <w:r>
        <w:rPr>
          <w:rFonts w:eastAsia="Malgun Gothic"/>
          <w:lang w:val="en-US" w:eastAsia="ko-KR"/>
        </w:rPr>
        <w:t xml:space="preserve">First, based on R2, </w:t>
      </w:r>
      <w:r w:rsidRPr="00591837">
        <w:rPr>
          <w:rFonts w:eastAsia="Malgun Gothic"/>
          <w:lang w:val="en-US" w:eastAsia="ko-KR"/>
        </w:rPr>
        <w:t>SR-like indication for SCell BFR</w:t>
      </w:r>
      <w:r>
        <w:rPr>
          <w:rFonts w:eastAsia="Malgun Gothic"/>
          <w:lang w:val="en-US" w:eastAsia="ko-KR"/>
        </w:rPr>
        <w:t xml:space="preserve"> is used to request UL grant for transmitting BFR MAC CE </w:t>
      </w:r>
    </w:p>
    <w:p w14:paraId="642067FD" w14:textId="11292B5C" w:rsidR="00591837" w:rsidRDefault="00423D07" w:rsidP="00591837">
      <w:pPr>
        <w:pStyle w:val="ListParagraph"/>
        <w:numPr>
          <w:ilvl w:val="0"/>
          <w:numId w:val="21"/>
        </w:numPr>
        <w:rPr>
          <w:rFonts w:eastAsia="Malgun Gothic"/>
          <w:lang w:val="en-US" w:eastAsia="ko-KR"/>
        </w:rPr>
      </w:pPr>
      <w:r>
        <w:rPr>
          <w:rFonts w:eastAsia="Malgun Gothic"/>
          <w:lang w:val="en-US" w:eastAsia="ko-KR"/>
        </w:rPr>
        <w:t>Second, based on R4</w:t>
      </w:r>
      <w:r w:rsidR="00591837">
        <w:rPr>
          <w:rFonts w:eastAsia="Malgun Gothic"/>
          <w:lang w:val="en-US" w:eastAsia="ko-KR"/>
        </w:rPr>
        <w:t xml:space="preserve">, </w:t>
      </w:r>
      <w:r w:rsidR="00591837" w:rsidRPr="00591837">
        <w:rPr>
          <w:rFonts w:eastAsia="Malgun Gothic"/>
          <w:lang w:val="en-US" w:eastAsia="ko-KR"/>
        </w:rPr>
        <w:t>SR-like indication for SCell BFR</w:t>
      </w:r>
      <w:r w:rsidR="00591837">
        <w:rPr>
          <w:rFonts w:eastAsia="Malgun Gothic"/>
          <w:lang w:val="en-US" w:eastAsia="ko-KR"/>
        </w:rPr>
        <w:t xml:space="preserve"> does not carry any information such as the identity of the failed SCell and beam information</w:t>
      </w:r>
    </w:p>
    <w:p w14:paraId="69057947" w14:textId="77777777" w:rsidR="00591837" w:rsidRDefault="00591837" w:rsidP="00591837">
      <w:pPr>
        <w:rPr>
          <w:rFonts w:eastAsia="Malgun Gothic"/>
          <w:lang w:val="en-US" w:eastAsia="ko-KR"/>
        </w:rPr>
      </w:pPr>
      <w:r>
        <w:rPr>
          <w:rFonts w:eastAsia="Malgun Gothic"/>
          <w:lang w:val="en-US" w:eastAsia="ko-KR"/>
        </w:rPr>
        <w:t xml:space="preserve">Therefore, according to RAN1 LS, the function of </w:t>
      </w:r>
      <w:r w:rsidRPr="00591837">
        <w:rPr>
          <w:rFonts w:eastAsia="Malgun Gothic"/>
          <w:lang w:val="en-US" w:eastAsia="ko-KR"/>
        </w:rPr>
        <w:t>SR-like indication</w:t>
      </w:r>
      <w:r>
        <w:rPr>
          <w:rFonts w:eastAsia="Malgun Gothic"/>
          <w:lang w:val="en-US" w:eastAsia="ko-KR"/>
        </w:rPr>
        <w:t xml:space="preserve"> can be thought as one kind of SR configuration dedicated for BFR. That is, legacy SR procedure like triggering and cancelling conditions can be applied to the SR-like indication for BFR.</w:t>
      </w:r>
    </w:p>
    <w:p w14:paraId="3AF2A7F0" w14:textId="77777777" w:rsidR="00591837" w:rsidRDefault="00591837" w:rsidP="00591837">
      <w:pPr>
        <w:rPr>
          <w:rFonts w:eastAsia="Malgun Gothic"/>
          <w:lang w:val="en-US" w:eastAsia="ko-KR"/>
        </w:rPr>
      </w:pPr>
    </w:p>
    <w:p w14:paraId="0A21888B" w14:textId="762DA158" w:rsidR="00591837" w:rsidRPr="00591837" w:rsidRDefault="00591837" w:rsidP="00591837">
      <w:pPr>
        <w:rPr>
          <w:rFonts w:eastAsia="Malgun Gothic"/>
          <w:b/>
          <w:lang w:val="en-US" w:eastAsia="ko-KR"/>
        </w:rPr>
      </w:pPr>
      <w:r w:rsidRPr="00591837">
        <w:rPr>
          <w:rFonts w:eastAsia="Malgun Gothic"/>
          <w:b/>
          <w:lang w:val="en-US" w:eastAsia="ko-KR"/>
        </w:rPr>
        <w:t>Observation: Based on RAN1 LS, SR-like indication for BFR is used to request resource for BFR MAC CE transmission. Therefore it can be modelled as a special SR configuration dedicated for BFR.</w:t>
      </w:r>
    </w:p>
    <w:p w14:paraId="437FF49E" w14:textId="3E2EAFDD" w:rsidR="00591837" w:rsidRDefault="00232E7E" w:rsidP="00591837">
      <w:pPr>
        <w:rPr>
          <w:rFonts w:eastAsia="Malgun Gothic"/>
          <w:lang w:val="en-US" w:eastAsia="ko-KR"/>
        </w:rPr>
      </w:pPr>
      <w:r>
        <w:rPr>
          <w:rFonts w:eastAsia="Malgun Gothic"/>
          <w:lang w:val="en-US" w:eastAsia="ko-KR"/>
        </w:rPr>
        <w:lastRenderedPageBreak/>
        <w:t>According to RAN1 LS</w:t>
      </w:r>
      <w:r w:rsidR="00423D07">
        <w:rPr>
          <w:rFonts w:eastAsia="Malgun Gothic"/>
          <w:lang w:val="en-US" w:eastAsia="ko-KR"/>
        </w:rPr>
        <w:t xml:space="preserve"> A5</w:t>
      </w:r>
      <w:r>
        <w:rPr>
          <w:rFonts w:eastAsia="Malgun Gothic"/>
          <w:lang w:val="en-US" w:eastAsia="ko-KR"/>
        </w:rPr>
        <w:t>, the signaling flow for SR-like indication is very similar to the legacy</w:t>
      </w:r>
      <w:r w:rsidR="001C3993">
        <w:rPr>
          <w:rFonts w:eastAsia="Malgun Gothic"/>
          <w:lang w:val="en-US" w:eastAsia="ko-KR"/>
        </w:rPr>
        <w:t xml:space="preserve"> SR-BSR procedure, as illustrated in Figure 1.</w:t>
      </w:r>
    </w:p>
    <w:p w14:paraId="6CA73C74" w14:textId="2158EEFE" w:rsidR="001C3993" w:rsidRDefault="001C3993" w:rsidP="00591837">
      <w:pPr>
        <w:rPr>
          <w:rFonts w:eastAsia="Malgun Gothic"/>
          <w:lang w:val="en-US" w:eastAsia="ko-KR"/>
        </w:rPr>
      </w:pPr>
      <w:r w:rsidRPr="001C3993">
        <w:rPr>
          <w:rFonts w:eastAsia="Malgun Gothic"/>
          <w:noProof/>
          <w:lang w:val="en-US"/>
        </w:rPr>
        <mc:AlternateContent>
          <mc:Choice Requires="wpg">
            <w:drawing>
              <wp:anchor distT="0" distB="0" distL="114300" distR="114300" simplePos="0" relativeHeight="251659264" behindDoc="0" locked="0" layoutInCell="1" allowOverlap="1" wp14:anchorId="6BD53BFF" wp14:editId="0341136C">
                <wp:simplePos x="0" y="0"/>
                <wp:positionH relativeFrom="column">
                  <wp:posOffset>1217221</wp:posOffset>
                </wp:positionH>
                <wp:positionV relativeFrom="paragraph">
                  <wp:posOffset>5938</wp:posOffset>
                </wp:positionV>
                <wp:extent cx="3326130" cy="2428504"/>
                <wp:effectExtent l="0" t="0" r="0" b="29210"/>
                <wp:wrapTopAndBottom/>
                <wp:docPr id="6" name="Group 5"/>
                <wp:cNvGraphicFramePr/>
                <a:graphic xmlns:a="http://schemas.openxmlformats.org/drawingml/2006/main">
                  <a:graphicData uri="http://schemas.microsoft.com/office/word/2010/wordprocessingGroup">
                    <wpg:wgp>
                      <wpg:cNvGrpSpPr/>
                      <wpg:grpSpPr>
                        <a:xfrm>
                          <a:off x="0" y="0"/>
                          <a:ext cx="3326130" cy="2428504"/>
                          <a:chOff x="0" y="0"/>
                          <a:chExt cx="3326130" cy="2428504"/>
                        </a:xfrm>
                      </wpg:grpSpPr>
                      <wps:wsp>
                        <wps:cNvPr id="2" name="Straight Connector 2"/>
                        <wps:cNvCnPr/>
                        <wps:spPr>
                          <a:xfrm>
                            <a:off x="240030" y="441960"/>
                            <a:ext cx="0" cy="1986544"/>
                          </a:xfrm>
                          <a:prstGeom prst="line">
                            <a:avLst/>
                          </a:prstGeom>
                        </wps:spPr>
                        <wps:style>
                          <a:lnRef idx="2">
                            <a:schemeClr val="dk1"/>
                          </a:lnRef>
                          <a:fillRef idx="0">
                            <a:schemeClr val="dk1"/>
                          </a:fillRef>
                          <a:effectRef idx="1">
                            <a:schemeClr val="dk1"/>
                          </a:effectRef>
                          <a:fontRef idx="minor">
                            <a:schemeClr val="tx1"/>
                          </a:fontRef>
                        </wps:style>
                        <wps:bodyPr/>
                      </wps:wsp>
                      <wps:wsp>
                        <wps:cNvPr id="3" name="Straight Connector 3"/>
                        <wps:cNvCnPr/>
                        <wps:spPr>
                          <a:xfrm>
                            <a:off x="2884170" y="441960"/>
                            <a:ext cx="0" cy="1927167"/>
                          </a:xfrm>
                          <a:prstGeom prst="line">
                            <a:avLst/>
                          </a:prstGeom>
                        </wps:spPr>
                        <wps:style>
                          <a:lnRef idx="2">
                            <a:schemeClr val="dk1"/>
                          </a:lnRef>
                          <a:fillRef idx="0">
                            <a:schemeClr val="dk1"/>
                          </a:fillRef>
                          <a:effectRef idx="1">
                            <a:schemeClr val="dk1"/>
                          </a:effectRef>
                          <a:fontRef idx="minor">
                            <a:schemeClr val="tx1"/>
                          </a:fontRef>
                        </wps:style>
                        <wps:bodyPr/>
                      </wps:wsp>
                      <wps:wsp>
                        <wps:cNvPr id="4" name="TextBox 8"/>
                        <wps:cNvSpPr txBox="1"/>
                        <wps:spPr>
                          <a:xfrm>
                            <a:off x="0" y="0"/>
                            <a:ext cx="480060" cy="277495"/>
                          </a:xfrm>
                          <a:prstGeom prst="rect">
                            <a:avLst/>
                          </a:prstGeom>
                          <a:noFill/>
                        </wps:spPr>
                        <wps:txbx>
                          <w:txbxContent>
                            <w:p w14:paraId="7120A18B" w14:textId="77777777" w:rsidR="001C3993" w:rsidRPr="00547DC0" w:rsidRDefault="001C3993" w:rsidP="001C3993">
                              <w:pPr>
                                <w:pStyle w:val="NormalWeb"/>
                                <w:spacing w:before="0" w:beforeAutospacing="0" w:after="0" w:afterAutospacing="0"/>
                              </w:pPr>
                              <w:r w:rsidRPr="00547DC0">
                                <w:rPr>
                                  <w:rFonts w:asciiTheme="minorHAnsi" w:hAnsi="Calibri" w:cstheme="minorBidi"/>
                                  <w:color w:val="000000" w:themeColor="text1"/>
                                  <w:kern w:val="24"/>
                                </w:rPr>
                                <w:t>UE</w:t>
                              </w:r>
                            </w:p>
                          </w:txbxContent>
                        </wps:txbx>
                        <wps:bodyPr wrap="square" rtlCol="0">
                          <a:spAutoFit/>
                        </wps:bodyPr>
                      </wps:wsp>
                      <wps:wsp>
                        <wps:cNvPr id="5" name="TextBox 9"/>
                        <wps:cNvSpPr txBox="1"/>
                        <wps:spPr>
                          <a:xfrm>
                            <a:off x="2644140" y="0"/>
                            <a:ext cx="681990" cy="277495"/>
                          </a:xfrm>
                          <a:prstGeom prst="rect">
                            <a:avLst/>
                          </a:prstGeom>
                          <a:noFill/>
                        </wps:spPr>
                        <wps:txbx>
                          <w:txbxContent>
                            <w:p w14:paraId="0BE23980" w14:textId="77777777" w:rsidR="001C3993" w:rsidRPr="00547DC0" w:rsidRDefault="001C3993" w:rsidP="001C3993">
                              <w:pPr>
                                <w:pStyle w:val="NormalWeb"/>
                                <w:spacing w:before="0" w:beforeAutospacing="0" w:after="0" w:afterAutospacing="0"/>
                              </w:pPr>
                              <w:r w:rsidRPr="00547DC0">
                                <w:rPr>
                                  <w:rFonts w:asciiTheme="minorHAnsi" w:hAnsi="Calibri" w:cstheme="minorBidi"/>
                                  <w:color w:val="000000" w:themeColor="text1"/>
                                  <w:kern w:val="24"/>
                                </w:rPr>
                                <w:t>gNB</w:t>
                              </w:r>
                            </w:p>
                          </w:txbxContent>
                        </wps:txbx>
                        <wps:bodyPr wrap="square" rtlCol="0">
                          <a:spAutoFit/>
                        </wps:bodyPr>
                      </wps:wsp>
                      <wps:wsp>
                        <wps:cNvPr id="7" name="Straight Arrow Connector 7"/>
                        <wps:cNvCnPr/>
                        <wps:spPr>
                          <a:xfrm>
                            <a:off x="240030" y="588363"/>
                            <a:ext cx="2644140" cy="0"/>
                          </a:xfrm>
                          <a:prstGeom prst="straightConnector1">
                            <a:avLst/>
                          </a:prstGeom>
                          <a:ln>
                            <a:tailEnd type="triangle" w="lg" len="lg"/>
                          </a:ln>
                        </wps:spPr>
                        <wps:style>
                          <a:lnRef idx="2">
                            <a:schemeClr val="accent2"/>
                          </a:lnRef>
                          <a:fillRef idx="0">
                            <a:schemeClr val="accent2"/>
                          </a:fillRef>
                          <a:effectRef idx="1">
                            <a:schemeClr val="accent2"/>
                          </a:effectRef>
                          <a:fontRef idx="minor">
                            <a:schemeClr val="tx1"/>
                          </a:fontRef>
                        </wps:style>
                        <wps:bodyPr/>
                      </wps:wsp>
                      <wps:wsp>
                        <wps:cNvPr id="8" name="TextBox 11"/>
                        <wps:cNvSpPr txBox="1"/>
                        <wps:spPr>
                          <a:xfrm>
                            <a:off x="457472" y="282640"/>
                            <a:ext cx="2138680" cy="277495"/>
                          </a:xfrm>
                          <a:prstGeom prst="rect">
                            <a:avLst/>
                          </a:prstGeom>
                          <a:noFill/>
                        </wps:spPr>
                        <wps:txbx>
                          <w:txbxContent>
                            <w:p w14:paraId="00C49B7A" w14:textId="77777777" w:rsidR="001C3993" w:rsidRPr="00547DC0" w:rsidRDefault="001C3993" w:rsidP="001C3993">
                              <w:pPr>
                                <w:pStyle w:val="NormalWeb"/>
                                <w:spacing w:before="0" w:beforeAutospacing="0" w:after="0" w:afterAutospacing="0"/>
                                <w:jc w:val="center"/>
                              </w:pPr>
                              <w:r w:rsidRPr="00547DC0">
                                <w:rPr>
                                  <w:rFonts w:asciiTheme="minorHAnsi" w:hAnsi="Calibri" w:cstheme="minorBidi"/>
                                  <w:color w:val="FF0000"/>
                                  <w:kern w:val="24"/>
                                </w:rPr>
                                <w:t>STEP 1: PUCCH-BFR</w:t>
                              </w:r>
                            </w:p>
                          </w:txbxContent>
                        </wps:txbx>
                        <wps:bodyPr wrap="square" rtlCol="0">
                          <a:spAutoFit/>
                        </wps:bodyPr>
                      </wps:wsp>
                      <wps:wsp>
                        <wps:cNvPr id="9" name="Straight Arrow Connector 9"/>
                        <wps:cNvCnPr/>
                        <wps:spPr>
                          <a:xfrm flipH="1">
                            <a:off x="240030" y="1188260"/>
                            <a:ext cx="2644140" cy="0"/>
                          </a:xfrm>
                          <a:prstGeom prst="straightConnector1">
                            <a:avLst/>
                          </a:prstGeom>
                          <a:ln>
                            <a:tailEnd type="triangle" w="lg" len="lg"/>
                          </a:ln>
                        </wps:spPr>
                        <wps:style>
                          <a:lnRef idx="2">
                            <a:schemeClr val="accent2"/>
                          </a:lnRef>
                          <a:fillRef idx="0">
                            <a:schemeClr val="accent2"/>
                          </a:fillRef>
                          <a:effectRef idx="1">
                            <a:schemeClr val="accent2"/>
                          </a:effectRef>
                          <a:fontRef idx="minor">
                            <a:schemeClr val="tx1"/>
                          </a:fontRef>
                        </wps:style>
                        <wps:bodyPr/>
                      </wps:wsp>
                      <wps:wsp>
                        <wps:cNvPr id="10" name="TextBox 13"/>
                        <wps:cNvSpPr txBox="1"/>
                        <wps:spPr>
                          <a:xfrm>
                            <a:off x="299085" y="713646"/>
                            <a:ext cx="2602230" cy="463550"/>
                          </a:xfrm>
                          <a:prstGeom prst="rect">
                            <a:avLst/>
                          </a:prstGeom>
                          <a:noFill/>
                        </wps:spPr>
                        <wps:txbx>
                          <w:txbxContent>
                            <w:p w14:paraId="118D3EBC" w14:textId="77777777" w:rsidR="001C3993" w:rsidRPr="00547DC0" w:rsidRDefault="001C3993" w:rsidP="001C3993">
                              <w:pPr>
                                <w:pStyle w:val="NormalWeb"/>
                                <w:spacing w:before="0" w:beforeAutospacing="0" w:after="0" w:afterAutospacing="0"/>
                                <w:jc w:val="center"/>
                              </w:pPr>
                              <w:r w:rsidRPr="00547DC0">
                                <w:rPr>
                                  <w:rFonts w:asciiTheme="minorHAnsi" w:hAnsi="Calibri" w:cstheme="minorBidi"/>
                                  <w:color w:val="000000" w:themeColor="text1"/>
                                  <w:kern w:val="24"/>
                                </w:rPr>
                                <w:t>UL grant (addressed to C-RNTI or MCS-C-RNTI)</w:t>
                              </w:r>
                            </w:p>
                          </w:txbxContent>
                        </wps:txbx>
                        <wps:bodyPr wrap="square" rtlCol="0">
                          <a:spAutoFit/>
                        </wps:bodyPr>
                      </wps:wsp>
                      <wps:wsp>
                        <wps:cNvPr id="11" name="Straight Arrow Connector 11"/>
                        <wps:cNvCnPr/>
                        <wps:spPr>
                          <a:xfrm>
                            <a:off x="225258" y="1510734"/>
                            <a:ext cx="2644140" cy="0"/>
                          </a:xfrm>
                          <a:prstGeom prst="straightConnector1">
                            <a:avLst/>
                          </a:prstGeom>
                          <a:ln>
                            <a:tailEnd type="triangle" w="lg" len="lg"/>
                          </a:ln>
                        </wps:spPr>
                        <wps:style>
                          <a:lnRef idx="2">
                            <a:schemeClr val="accent2"/>
                          </a:lnRef>
                          <a:fillRef idx="0">
                            <a:schemeClr val="accent2"/>
                          </a:fillRef>
                          <a:effectRef idx="1">
                            <a:schemeClr val="accent2"/>
                          </a:effectRef>
                          <a:fontRef idx="minor">
                            <a:schemeClr val="tx1"/>
                          </a:fontRef>
                        </wps:style>
                        <wps:bodyPr/>
                      </wps:wsp>
                      <wps:wsp>
                        <wps:cNvPr id="12" name="TextBox 15"/>
                        <wps:cNvSpPr txBox="1"/>
                        <wps:spPr>
                          <a:xfrm>
                            <a:off x="497268" y="1214212"/>
                            <a:ext cx="2140585" cy="277495"/>
                          </a:xfrm>
                          <a:prstGeom prst="rect">
                            <a:avLst/>
                          </a:prstGeom>
                          <a:noFill/>
                        </wps:spPr>
                        <wps:txbx>
                          <w:txbxContent>
                            <w:p w14:paraId="72AC7A9A" w14:textId="77777777" w:rsidR="001C3993" w:rsidRPr="00547DC0" w:rsidRDefault="001C3993" w:rsidP="001C3993">
                              <w:pPr>
                                <w:pStyle w:val="NormalWeb"/>
                                <w:spacing w:before="0" w:beforeAutospacing="0" w:after="0" w:afterAutospacing="0"/>
                                <w:jc w:val="center"/>
                              </w:pPr>
                              <w:r w:rsidRPr="00547DC0">
                                <w:rPr>
                                  <w:rFonts w:asciiTheme="minorHAnsi" w:hAnsi="Calibri" w:cstheme="minorBidi"/>
                                  <w:color w:val="FF0000"/>
                                  <w:kern w:val="24"/>
                                </w:rPr>
                                <w:t>STEP 2: BFR MAC CE</w:t>
                              </w:r>
                            </w:p>
                          </w:txbxContent>
                        </wps:txbx>
                        <wps:bodyPr wrap="square" rtlCol="0">
                          <a:spAutoFit/>
                        </wps:bodyPr>
                      </wps:wsp>
                      <wps:wsp>
                        <wps:cNvPr id="13" name="Straight Arrow Connector 13"/>
                        <wps:cNvCnPr/>
                        <wps:spPr>
                          <a:xfrm flipH="1">
                            <a:off x="225258" y="2127603"/>
                            <a:ext cx="2644140" cy="0"/>
                          </a:xfrm>
                          <a:prstGeom prst="straightConnector1">
                            <a:avLst/>
                          </a:prstGeom>
                          <a:ln>
                            <a:tailEnd type="triangle" w="lg" len="lg"/>
                          </a:ln>
                        </wps:spPr>
                        <wps:style>
                          <a:lnRef idx="2">
                            <a:schemeClr val="accent2"/>
                          </a:lnRef>
                          <a:fillRef idx="0">
                            <a:schemeClr val="accent2"/>
                          </a:fillRef>
                          <a:effectRef idx="1">
                            <a:schemeClr val="accent2"/>
                          </a:effectRef>
                          <a:fontRef idx="minor">
                            <a:schemeClr val="tx1"/>
                          </a:fontRef>
                        </wps:style>
                        <wps:bodyPr/>
                      </wps:wsp>
                      <wps:wsp>
                        <wps:cNvPr id="14" name="TextBox 17"/>
                        <wps:cNvSpPr txBox="1"/>
                        <wps:spPr>
                          <a:xfrm>
                            <a:off x="136566" y="1590221"/>
                            <a:ext cx="2785745" cy="463550"/>
                          </a:xfrm>
                          <a:prstGeom prst="rect">
                            <a:avLst/>
                          </a:prstGeom>
                          <a:noFill/>
                        </wps:spPr>
                        <wps:txbx>
                          <w:txbxContent>
                            <w:p w14:paraId="5DE85626" w14:textId="77777777" w:rsidR="001C3993" w:rsidRPr="00547DC0" w:rsidRDefault="001C3993" w:rsidP="001C3993">
                              <w:pPr>
                                <w:pStyle w:val="NormalWeb"/>
                                <w:spacing w:before="0" w:beforeAutospacing="0" w:after="0" w:afterAutospacing="0"/>
                                <w:jc w:val="center"/>
                              </w:pPr>
                              <w:r w:rsidRPr="00547DC0">
                                <w:rPr>
                                  <w:rFonts w:asciiTheme="minorHAnsi" w:hAnsi="Calibri" w:cstheme="minorBidi"/>
                                  <w:color w:val="000000" w:themeColor="text1"/>
                                  <w:kern w:val="24"/>
                                </w:rPr>
                                <w:t>BFRR (BFR response)</w:t>
                              </w:r>
                            </w:p>
                            <w:p w14:paraId="353DDD20" w14:textId="77777777" w:rsidR="001C3993" w:rsidRPr="00547DC0" w:rsidRDefault="001C3993" w:rsidP="001C3993">
                              <w:pPr>
                                <w:pStyle w:val="NormalWeb"/>
                                <w:spacing w:before="0" w:beforeAutospacing="0" w:after="0" w:afterAutospacing="0"/>
                                <w:jc w:val="center"/>
                              </w:pPr>
                              <w:r w:rsidRPr="00547DC0">
                                <w:rPr>
                                  <w:rFonts w:asciiTheme="minorHAnsi" w:hAnsi="Calibri" w:cstheme="minorBidi"/>
                                  <w:color w:val="000000" w:themeColor="text1"/>
                                  <w:kern w:val="24"/>
                                </w:rPr>
                                <w:t>&lt;carry an UL grant for new transmission&gt;</w:t>
                              </w:r>
                            </w:p>
                          </w:txbxContent>
                        </wps:txbx>
                        <wps:bodyPr wrap="square" rtlCol="0">
                          <a:spAutoFit/>
                        </wps:bodyPr>
                      </wps:wsp>
                    </wpg:wgp>
                  </a:graphicData>
                </a:graphic>
                <wp14:sizeRelV relativeFrom="margin">
                  <wp14:pctHeight>0</wp14:pctHeight>
                </wp14:sizeRelV>
              </wp:anchor>
            </w:drawing>
          </mc:Choice>
          <mc:Fallback>
            <w:pict>
              <v:group w14:anchorId="6BD53BFF" id="Group 5" o:spid="_x0000_s1026" style="position:absolute;left:0;text-align:left;margin-left:95.85pt;margin-top:.45pt;width:261.9pt;height:191.2pt;z-index:251659264;mso-height-relative:margin" coordsize="33261,24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">
                <v:line id="Straight Connector 2" o:spid="_x0000_s1027" style="position:absolute;visibility:visible;mso-wrap-style:square" from="2400,4419" to="2400,24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g5MEAAADaAAAADwAAAGRycy9kb3ducmV2LnhtbESPQYvCMBSE7wv+h/AEb9tUD2VbjSKC&#10;4EVQV8Xjs3m2xealJFHrv98sLOxxmJlvmNmiN614kvONZQXjJAVBXFrdcKXg+L3+/ALhA7LG1jIp&#10;eJOHxXzwMcNC2xfv6XkIlYgQ9gUqqEPoCil9WZNBn9iOOHo36wyGKF0ltcNXhJtWTtI0kwYbjgs1&#10;drSqqbwfHkbBic53l+W5XF8vj93NHPNMy61So2G/nIII1If/8F97oxVM4PdKvAFy/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qDkwQAAANoAAAAPAAAAAAAAAAAAAAAA&#10;AKECAABkcnMvZG93bnJldi54bWxQSwUGAAAAAAQABAD5AAAAjwMAAAAA&#10;" strokecolor="black [3200]" strokeweight="1pt">
                  <v:stroke joinstyle="miter"/>
                </v:line>
                <v:line id="Straight Connector 3" o:spid="_x0000_s1028" style="position:absolute;visibility:visible;mso-wrap-style:square" from="28841,4419" to="28841,23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YFf8EAAADaAAAADwAAAGRycy9kb3ducmV2LnhtbESPQYvCMBSE7wv+h/AEb2vqCmVbjSKC&#10;sBdBXXfx+GyebbF5KUnU+u+NIHgcZuYbZjrvTCOu5HxtWcFomIAgLqyuuVSw/119foPwAVljY5kU&#10;3MnDfNb7mGKu7Y23dN2FUkQI+xwVVCG0uZS+qMigH9qWOHon6wyGKF0ptcNbhJtGfiVJKg3WHBcq&#10;bGlZUXHeXYyCP/o/uzTL5Op4uGxOZp+lWq6VGvS7xQREoC68w6/2j1YwhueVe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tgV/wQAAANoAAAAPAAAAAAAAAAAAAAAA&#10;AKECAABkcnMvZG93bnJldi54bWxQSwUGAAAAAAQABAD5AAAAjwMAAAAA&#10;" strokecolor="black [3200]" strokeweight="1pt">
                  <v:stroke joinstyle="miter"/>
                </v:line>
                <v:shapetype id="_x0000_t202" coordsize="21600,21600" o:spt="202" path="m,l,21600r21600,l21600,xe">
                  <v:stroke joinstyle="miter"/>
                  <v:path gradientshapeok="t" o:connecttype="rect"/>
                </v:shapetype>
                <v:shape id="TextBox 8" o:spid="_x0000_s1029" type="#_x0000_t202" style="position:absolute;width:4800;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14:paraId="7120A18B" w14:textId="77777777" w:rsidR="001C3993" w:rsidRPr="00547DC0" w:rsidRDefault="001C3993" w:rsidP="001C3993">
                        <w:pPr>
                          <w:pStyle w:val="NormalWeb"/>
                          <w:spacing w:before="0" w:beforeAutospacing="0" w:after="0" w:afterAutospacing="0"/>
                        </w:pPr>
                        <w:r w:rsidRPr="00547DC0">
                          <w:rPr>
                            <w:rFonts w:asciiTheme="minorHAnsi" w:hAnsi="Calibri" w:cstheme="minorBidi"/>
                            <w:color w:val="000000" w:themeColor="text1"/>
                            <w:kern w:val="24"/>
                          </w:rPr>
                          <w:t>UE</w:t>
                        </w:r>
                      </w:p>
                    </w:txbxContent>
                  </v:textbox>
                </v:shape>
                <v:shape id="TextBox 9" o:spid="_x0000_s1030" type="#_x0000_t202" style="position:absolute;left:26441;width:6820;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crj8AA&#10;AADaAAAADwAAAGRycy9kb3ducmV2LnhtbESPQWvCQBSE7wX/w/IEb3VjwSKpq4i24MFLNb0/ss9s&#10;MPs2ZF9N/PeuIHgcZuYbZrkefKOu1MU6sIHZNANFXAZbc2WgOP28L0BFQbbYBCYDN4qwXo3elpjb&#10;0PMvXY9SqQThmKMBJ9LmWsfSkcc4DS1x8s6h8yhJdpW2HfYJ7hv9kWWf2mPNacFhS1tH5eX47w2I&#10;2M3sVnz7uP8bDrveZeUcC2Mm42HzBUpokFf42d5bA3N4XEk3QK/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crj8AAAADaAAAADwAAAAAAAAAAAAAAAACYAgAAZHJzL2Rvd25y&#10;ZXYueG1sUEsFBgAAAAAEAAQA9QAAAIUDAAAAAA==&#10;" filled="f" stroked="f">
                  <v:textbox style="mso-fit-shape-to-text:t">
                    <w:txbxContent>
                      <w:p w14:paraId="0BE23980" w14:textId="77777777" w:rsidR="001C3993" w:rsidRPr="00547DC0" w:rsidRDefault="001C3993" w:rsidP="001C3993">
                        <w:pPr>
                          <w:pStyle w:val="NormalWeb"/>
                          <w:spacing w:before="0" w:beforeAutospacing="0" w:after="0" w:afterAutospacing="0"/>
                        </w:pPr>
                        <w:r w:rsidRPr="00547DC0">
                          <w:rPr>
                            <w:rFonts w:asciiTheme="minorHAnsi" w:hAnsi="Calibri" w:cstheme="minorBidi"/>
                            <w:color w:val="000000" w:themeColor="text1"/>
                            <w:kern w:val="24"/>
                          </w:rPr>
                          <w:t>gNB</w:t>
                        </w:r>
                      </w:p>
                    </w:txbxContent>
                  </v:textbox>
                </v:shape>
                <v:shapetype id="_x0000_t32" coordsize="21600,21600" o:spt="32" o:oned="t" path="m,l21600,21600e" filled="f">
                  <v:path arrowok="t" fillok="f" o:connecttype="none"/>
                  <o:lock v:ext="edit" shapetype="t"/>
                </v:shapetype>
                <v:shape id="Straight Arrow Connector 7" o:spid="_x0000_s1031" type="#_x0000_t32" style="position:absolute;left:2400;top:5883;width:264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EaKsIAAADaAAAADwAAAGRycy9kb3ducmV2LnhtbESPzWrCQBSF94W+w3AL7ppJRaukGaWI&#10;Da5Eoxt3l8xtEs3cCZmpiW/vCEKXh/PzcdLlYBpxpc7VlhV8RDEI4sLqmksFx8PP+xyE88gaG8uk&#10;4EYOlovXlxQTbXve0zX3pQgj7BJUUHnfJlK6oiKDLrItcfB+bWfQB9mVUnfYh3HTyHEcf0qDNQdC&#10;hS2tKiou+Z8J3PN5Y9Yy1rvTdnUbXyhbT6aZUqO34fsLhKfB/4ef7Y1WMIPHlXAD5O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5EaKsIAAADaAAAADwAAAAAAAAAAAAAA&#10;AAChAgAAZHJzL2Rvd25yZXYueG1sUEsFBgAAAAAEAAQA+QAAAJADAAAAAA==&#10;" strokecolor="#ed7d31 [3205]" strokeweight="1pt">
                  <v:stroke endarrow="block" endarrowwidth="wide" endarrowlength="long" joinstyle="miter"/>
                </v:shape>
                <v:shape id="TextBox 11" o:spid="_x0000_s1032" type="#_x0000_t202" style="position:absolute;left:4574;top:2826;width:2138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00C49B7A" w14:textId="77777777" w:rsidR="001C3993" w:rsidRPr="00547DC0" w:rsidRDefault="001C3993" w:rsidP="001C3993">
                        <w:pPr>
                          <w:pStyle w:val="NormalWeb"/>
                          <w:spacing w:before="0" w:beforeAutospacing="0" w:after="0" w:afterAutospacing="0"/>
                          <w:jc w:val="center"/>
                        </w:pPr>
                        <w:r w:rsidRPr="00547DC0">
                          <w:rPr>
                            <w:rFonts w:asciiTheme="minorHAnsi" w:hAnsi="Calibri" w:cstheme="minorBidi"/>
                            <w:color w:val="FF0000"/>
                            <w:kern w:val="24"/>
                          </w:rPr>
                          <w:t>STEP 1: PUCCH-BFR</w:t>
                        </w:r>
                      </w:p>
                    </w:txbxContent>
                  </v:textbox>
                </v:shape>
                <v:shape id="Straight Arrow Connector 9" o:spid="_x0000_s1033" type="#_x0000_t32" style="position:absolute;left:2400;top:11882;width:264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24F8QAAADaAAAADwAAAGRycy9kb3ducmV2LnhtbESPT2vCQBTE74V+h+UVequb9FBsdBXt&#10;H2igl6oHj8/sMxvMvg3ZV0399F1B8DjMzG+Y6XzwrTpSH5vABvJRBoq4Crbh2sBm/fk0BhUF2WIb&#10;mAz8UYT57P5uioUNJ/6h40pqlSAcCzTgRLpC61g58hhHoSNO3j70HiXJvta2x1OC+1Y/Z9mL9thw&#10;WnDY0Zuj6rD69QYW1Xu53ctZf8uOXB7ycv2xLI15fBgWE1BCg9zC1/aXNfAKlyvpBuj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zbgXxAAAANoAAAAPAAAAAAAAAAAA&#10;AAAAAKECAABkcnMvZG93bnJldi54bWxQSwUGAAAAAAQABAD5AAAAkgMAAAAA&#10;" strokecolor="#ed7d31 [3205]" strokeweight="1pt">
                  <v:stroke endarrow="block" endarrowwidth="wide" endarrowlength="long" joinstyle="miter"/>
                </v:shape>
                <v:shape id="TextBox 13" o:spid="_x0000_s1034" type="#_x0000_t202" style="position:absolute;left:2990;top:7136;width:26023;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118D3EBC" w14:textId="77777777" w:rsidR="001C3993" w:rsidRPr="00547DC0" w:rsidRDefault="001C3993" w:rsidP="001C3993">
                        <w:pPr>
                          <w:pStyle w:val="NormalWeb"/>
                          <w:spacing w:before="0" w:beforeAutospacing="0" w:after="0" w:afterAutospacing="0"/>
                          <w:jc w:val="center"/>
                        </w:pPr>
                        <w:r w:rsidRPr="00547DC0">
                          <w:rPr>
                            <w:rFonts w:asciiTheme="minorHAnsi" w:hAnsi="Calibri" w:cstheme="minorBidi"/>
                            <w:color w:val="000000" w:themeColor="text1"/>
                            <w:kern w:val="24"/>
                          </w:rPr>
                          <w:t>UL grant (addressed to C-RNTI or MCS-C-RNTI)</w:t>
                        </w:r>
                      </w:p>
                    </w:txbxContent>
                  </v:textbox>
                </v:shape>
                <v:shape id="Straight Arrow Connector 11" o:spid="_x0000_s1035" type="#_x0000_t32" style="position:absolute;left:2252;top:15107;width:264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OO9sAAAADbAAAADwAAAGRycy9kb3ducmV2LnhtbESPzQrCMBCE74LvEFbwpqmiItUoIiqe&#10;xL+Lt6VZ22qzKU3U+vZGELztMrPzzU7ntSnEkyqXW1bQ60YgiBOrc04VnE/rzhiE88gaC8uk4E0O&#10;5rNmY4qxti8+0PPoUxFC2MWoIPO+jKV0SUYGXdeWxEG72sqgD2uVSl3hK4SbQvajaCQN5hwIGZa0&#10;zCi5Hx8mcG+3rVnJSO8vu+W7f6fNajDcKNVu1YsJCE+1/5t/11sd6vfg+0sYQM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jjvbAAAAA2wAAAA8AAAAAAAAAAAAAAAAA&#10;oQIAAGRycy9kb3ducmV2LnhtbFBLBQYAAAAABAAEAPkAAACOAwAAAAA=&#10;" strokecolor="#ed7d31 [3205]" strokeweight="1pt">
                  <v:stroke endarrow="block" endarrowwidth="wide" endarrowlength="long" joinstyle="miter"/>
                </v:shape>
                <v:shape id="TextBox 15" o:spid="_x0000_s1036" type="#_x0000_t202" style="position:absolute;left:4972;top:12142;width:21406;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72AC7A9A" w14:textId="77777777" w:rsidR="001C3993" w:rsidRPr="00547DC0" w:rsidRDefault="001C3993" w:rsidP="001C3993">
                        <w:pPr>
                          <w:pStyle w:val="NormalWeb"/>
                          <w:spacing w:before="0" w:beforeAutospacing="0" w:after="0" w:afterAutospacing="0"/>
                          <w:jc w:val="center"/>
                        </w:pPr>
                        <w:r w:rsidRPr="00547DC0">
                          <w:rPr>
                            <w:rFonts w:asciiTheme="minorHAnsi" w:hAnsi="Calibri" w:cstheme="minorBidi"/>
                            <w:color w:val="FF0000"/>
                            <w:kern w:val="24"/>
                          </w:rPr>
                          <w:t>STEP 2: BFR MAC CE</w:t>
                        </w:r>
                      </w:p>
                    </w:txbxContent>
                  </v:textbox>
                </v:shape>
                <v:shape id="Straight Arrow Connector 13" o:spid="_x0000_s1037" type="#_x0000_t32" style="position:absolute;left:2252;top:21276;width:264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7RcMIAAADbAAAADwAAAGRycy9kb3ducmV2LnhtbERPS2vCQBC+F/oflin0VjdpQUp0Fe0D&#10;Guil6sHjmB2zwexsyE419dd3BcHbfHzPmc4H36oj9bEJbCAfZaCIq2Abrg1s1p9Pr6CiIFtsA5OB&#10;P4own93fTbGw4cQ/dFxJrVIIxwINOJGu0DpWjjzGUeiIE7cPvUdJsK+17fGUwn2rn7NsrD02nBoc&#10;dvTmqDqsfr2BRfVebvdy1t+yI5eHvFx/LEtjHh+GxQSU0CA38dX9ZdP8F7j8kg7Qs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M7RcMIAAADbAAAADwAAAAAAAAAAAAAA&#10;AAChAgAAZHJzL2Rvd25yZXYueG1sUEsFBgAAAAAEAAQA+QAAAJADAAAAAA==&#10;" strokecolor="#ed7d31 [3205]" strokeweight="1pt">
                  <v:stroke endarrow="block" endarrowwidth="wide" endarrowlength="long" joinstyle="miter"/>
                </v:shape>
                <v:shape id="TextBox 17" o:spid="_x0000_s1038" type="#_x0000_t202" style="position:absolute;left:1365;top:15902;width:27858;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14:paraId="5DE85626" w14:textId="77777777" w:rsidR="001C3993" w:rsidRPr="00547DC0" w:rsidRDefault="001C3993" w:rsidP="001C3993">
                        <w:pPr>
                          <w:pStyle w:val="NormalWeb"/>
                          <w:spacing w:before="0" w:beforeAutospacing="0" w:after="0" w:afterAutospacing="0"/>
                          <w:jc w:val="center"/>
                        </w:pPr>
                        <w:r w:rsidRPr="00547DC0">
                          <w:rPr>
                            <w:rFonts w:asciiTheme="minorHAnsi" w:hAnsi="Calibri" w:cstheme="minorBidi"/>
                            <w:color w:val="000000" w:themeColor="text1"/>
                            <w:kern w:val="24"/>
                          </w:rPr>
                          <w:t>BFRR (BFR response)</w:t>
                        </w:r>
                      </w:p>
                      <w:p w14:paraId="353DDD20" w14:textId="77777777" w:rsidR="001C3993" w:rsidRPr="00547DC0" w:rsidRDefault="001C3993" w:rsidP="001C3993">
                        <w:pPr>
                          <w:pStyle w:val="NormalWeb"/>
                          <w:spacing w:before="0" w:beforeAutospacing="0" w:after="0" w:afterAutospacing="0"/>
                          <w:jc w:val="center"/>
                        </w:pPr>
                        <w:r w:rsidRPr="00547DC0">
                          <w:rPr>
                            <w:rFonts w:asciiTheme="minorHAnsi" w:hAnsi="Calibri" w:cstheme="minorBidi"/>
                            <w:color w:val="000000" w:themeColor="text1"/>
                            <w:kern w:val="24"/>
                          </w:rPr>
                          <w:t>&lt;carry an UL grant for new transmission&gt;</w:t>
                        </w:r>
                      </w:p>
                    </w:txbxContent>
                  </v:textbox>
                </v:shape>
                <w10:wrap type="topAndBottom"/>
              </v:group>
            </w:pict>
          </mc:Fallback>
        </mc:AlternateContent>
      </w:r>
    </w:p>
    <w:p w14:paraId="65793D57" w14:textId="682BA326" w:rsidR="00591837" w:rsidRPr="00591837" w:rsidRDefault="001C3993" w:rsidP="001C3993">
      <w:pPr>
        <w:jc w:val="center"/>
        <w:rPr>
          <w:rFonts w:eastAsia="Malgun Gothic"/>
          <w:lang w:val="en-US" w:eastAsia="ko-KR"/>
        </w:rPr>
      </w:pPr>
      <w:r>
        <w:rPr>
          <w:rFonts w:eastAsia="Malgun Gothic"/>
          <w:lang w:val="en-US" w:eastAsia="ko-KR"/>
        </w:rPr>
        <w:t>Figure 1: Illustration of B</w:t>
      </w:r>
      <w:r w:rsidR="00132BAF">
        <w:rPr>
          <w:rFonts w:eastAsia="Malgun Gothic"/>
          <w:lang w:val="en-US" w:eastAsia="ko-KR"/>
        </w:rPr>
        <w:t>F</w:t>
      </w:r>
      <w:r>
        <w:rPr>
          <w:rFonts w:eastAsia="Malgun Gothic"/>
          <w:lang w:val="en-US" w:eastAsia="ko-KR"/>
        </w:rPr>
        <w:t>R procedure for SCell</w:t>
      </w:r>
    </w:p>
    <w:p w14:paraId="7C6ADEA9" w14:textId="77777777" w:rsidR="00591837" w:rsidRDefault="00591837" w:rsidP="00591837">
      <w:pPr>
        <w:rPr>
          <w:rFonts w:eastAsia="Malgun Gothic"/>
          <w:lang w:val="en-US" w:eastAsia="ko-KR"/>
        </w:rPr>
      </w:pPr>
    </w:p>
    <w:p w14:paraId="490D8EE6" w14:textId="77777777" w:rsidR="00AD5B00" w:rsidRDefault="00AD5B00" w:rsidP="00591837">
      <w:pPr>
        <w:rPr>
          <w:rFonts w:eastAsia="Malgun Gothic"/>
          <w:lang w:val="en-US" w:eastAsia="ko-KR"/>
        </w:rPr>
      </w:pPr>
    </w:p>
    <w:p w14:paraId="6A849261" w14:textId="00CCAE40" w:rsidR="00AD5B00" w:rsidRDefault="00AD5B00" w:rsidP="00591837">
      <w:pPr>
        <w:rPr>
          <w:rFonts w:eastAsia="Malgun Gothic"/>
          <w:lang w:val="en-US" w:eastAsia="ko-KR"/>
        </w:rPr>
      </w:pPr>
      <w:r>
        <w:rPr>
          <w:rFonts w:eastAsia="Malgun Gothic"/>
          <w:lang w:val="en-US" w:eastAsia="ko-KR"/>
        </w:rPr>
        <w:t>In our view, SR-like indication can be though as a special SR configuration.</w:t>
      </w:r>
    </w:p>
    <w:p w14:paraId="7AF07278" w14:textId="77777777" w:rsidR="00AD5B00" w:rsidRDefault="00AD5B00" w:rsidP="00591837">
      <w:pPr>
        <w:rPr>
          <w:rFonts w:eastAsia="Malgun Gothic"/>
          <w:lang w:val="en-US" w:eastAsia="ko-KR"/>
        </w:rPr>
      </w:pPr>
    </w:p>
    <w:p w14:paraId="37A00FF3" w14:textId="528CB4FB" w:rsidR="003B1715" w:rsidRPr="0057633A" w:rsidRDefault="003B1715" w:rsidP="0057633A">
      <w:pPr>
        <w:pStyle w:val="ListParagraph"/>
        <w:numPr>
          <w:ilvl w:val="0"/>
          <w:numId w:val="25"/>
        </w:numPr>
        <w:ind w:left="1134" w:hanging="1134"/>
        <w:rPr>
          <w:rFonts w:ascii="Arial" w:eastAsia="Malgun Gothic" w:hAnsi="Arial" w:cs="Arial"/>
          <w:b/>
          <w:lang w:val="en-US" w:eastAsia="ko-KR"/>
        </w:rPr>
      </w:pPr>
      <w:r w:rsidRPr="0057633A">
        <w:rPr>
          <w:rFonts w:ascii="Arial" w:eastAsia="Malgun Gothic" w:hAnsi="Arial" w:cs="Arial"/>
          <w:b/>
          <w:lang w:val="en-US" w:eastAsia="ko-KR"/>
        </w:rPr>
        <w:t xml:space="preserve">To support BFR for SCell, NW configure UE a SR configuration dedicated for BFR, i.e. including the periodicity and offset of PUCCH resource, </w:t>
      </w:r>
      <w:r w:rsidR="00D02A3E" w:rsidRPr="0057633A">
        <w:rPr>
          <w:rFonts w:ascii="Arial" w:eastAsia="Malgun Gothic" w:hAnsi="Arial" w:cs="Arial"/>
          <w:b/>
          <w:lang w:val="en-US" w:eastAsia="ko-KR"/>
        </w:rPr>
        <w:t xml:space="preserve">along with corresponding </w:t>
      </w:r>
      <w:r w:rsidRPr="0057633A">
        <w:rPr>
          <w:rFonts w:ascii="Arial" w:eastAsia="Malgun Gothic" w:hAnsi="Arial" w:cs="Arial"/>
          <w:b/>
          <w:lang w:val="en-US" w:eastAsia="ko-KR"/>
        </w:rPr>
        <w:t>sr-counter, and sr timer.</w:t>
      </w:r>
    </w:p>
    <w:p w14:paraId="35351825" w14:textId="77777777" w:rsidR="00AC6B1E" w:rsidRDefault="00AC6B1E" w:rsidP="00591837">
      <w:pPr>
        <w:rPr>
          <w:rFonts w:eastAsia="Malgun Gothic"/>
          <w:b/>
          <w:lang w:val="en-US" w:eastAsia="ko-KR"/>
        </w:rPr>
      </w:pPr>
    </w:p>
    <w:p w14:paraId="6D80352B" w14:textId="77777777" w:rsidR="00AD5B00" w:rsidRDefault="00AD5B00" w:rsidP="00AD5B00">
      <w:pPr>
        <w:rPr>
          <w:rFonts w:eastAsia="Malgun Gothic"/>
          <w:lang w:val="en-US" w:eastAsia="ko-KR"/>
        </w:rPr>
      </w:pPr>
      <w:r>
        <w:rPr>
          <w:rFonts w:eastAsia="Malgun Gothic"/>
          <w:lang w:val="en-US" w:eastAsia="ko-KR"/>
        </w:rPr>
        <w:t xml:space="preserve">Besides, the triggering and cancelling condition for BFRQ can reuse the mechanism of BSR in NR Uu. </w:t>
      </w:r>
    </w:p>
    <w:p w14:paraId="51DEDAE4" w14:textId="77777777" w:rsidR="00AD5B00" w:rsidRDefault="00AD5B00" w:rsidP="00591837">
      <w:pPr>
        <w:rPr>
          <w:rFonts w:eastAsia="Malgun Gothic"/>
          <w:b/>
          <w:lang w:val="en-US" w:eastAsia="ko-KR"/>
        </w:rPr>
      </w:pPr>
    </w:p>
    <w:p w14:paraId="2234604B" w14:textId="77777777" w:rsidR="002B7984" w:rsidRPr="00146B99" w:rsidRDefault="002B7984" w:rsidP="00146B99">
      <w:pPr>
        <w:pStyle w:val="ListParagraph"/>
        <w:ind w:left="1134"/>
        <w:rPr>
          <w:rFonts w:ascii="Arial" w:eastAsia="Malgun Gothic" w:hAnsi="Arial" w:cs="Arial"/>
          <w:b/>
          <w:lang w:val="en-US" w:eastAsia="ko-KR"/>
        </w:rPr>
      </w:pPr>
    </w:p>
    <w:p w14:paraId="688DA3E3" w14:textId="0BB3BE18" w:rsidR="00FC7C74" w:rsidRPr="00146B99" w:rsidRDefault="003B1715" w:rsidP="00146B99">
      <w:pPr>
        <w:pStyle w:val="ListParagraph"/>
        <w:numPr>
          <w:ilvl w:val="0"/>
          <w:numId w:val="25"/>
        </w:numPr>
        <w:ind w:left="1134" w:hanging="1134"/>
        <w:rPr>
          <w:rFonts w:ascii="Arial" w:eastAsia="Malgun Gothic" w:hAnsi="Arial" w:cs="Arial"/>
          <w:b/>
          <w:lang w:val="en-US" w:eastAsia="ko-KR"/>
        </w:rPr>
      </w:pPr>
      <w:r w:rsidRPr="00146B99">
        <w:rPr>
          <w:rFonts w:ascii="Arial" w:eastAsia="Malgun Gothic" w:hAnsi="Arial" w:cs="Arial"/>
          <w:b/>
          <w:lang w:val="en-US" w:eastAsia="ko-KR"/>
        </w:rPr>
        <w:t>As in legacy SR-BSR procedure, when BFR for a SCell is detected, BFR</w:t>
      </w:r>
      <w:r w:rsidR="00FC7C74" w:rsidRPr="00146B99">
        <w:rPr>
          <w:rFonts w:ascii="Arial" w:eastAsia="Malgun Gothic" w:hAnsi="Arial" w:cs="Arial"/>
          <w:b/>
          <w:lang w:val="en-US" w:eastAsia="ko-KR"/>
        </w:rPr>
        <w:t>Q</w:t>
      </w:r>
      <w:r w:rsidRPr="00146B99">
        <w:rPr>
          <w:rFonts w:ascii="Arial" w:eastAsia="Malgun Gothic" w:hAnsi="Arial" w:cs="Arial"/>
          <w:b/>
          <w:lang w:val="en-US" w:eastAsia="ko-KR"/>
        </w:rPr>
        <w:t xml:space="preserve"> for </w:t>
      </w:r>
      <w:r w:rsidR="00FC7C74" w:rsidRPr="00146B99">
        <w:rPr>
          <w:rFonts w:ascii="Arial" w:eastAsia="Malgun Gothic" w:hAnsi="Arial" w:cs="Arial"/>
          <w:b/>
          <w:lang w:val="en-US" w:eastAsia="ko-KR"/>
        </w:rPr>
        <w:t xml:space="preserve">the </w:t>
      </w:r>
      <w:r w:rsidRPr="00146B99">
        <w:rPr>
          <w:rFonts w:ascii="Arial" w:eastAsia="Malgun Gothic" w:hAnsi="Arial" w:cs="Arial"/>
          <w:b/>
          <w:lang w:val="en-US" w:eastAsia="ko-KR"/>
        </w:rPr>
        <w:t>SCell</w:t>
      </w:r>
      <w:r w:rsidR="00FC7C74" w:rsidRPr="00146B99">
        <w:rPr>
          <w:rFonts w:ascii="Arial" w:eastAsia="Malgun Gothic" w:hAnsi="Arial" w:cs="Arial"/>
          <w:b/>
          <w:lang w:val="en-US" w:eastAsia="ko-KR"/>
        </w:rPr>
        <w:t xml:space="preserve"> with beam failure</w:t>
      </w:r>
      <w:r w:rsidRPr="00146B99">
        <w:rPr>
          <w:rFonts w:ascii="Arial" w:eastAsia="Malgun Gothic" w:hAnsi="Arial" w:cs="Arial"/>
          <w:b/>
          <w:lang w:val="en-US" w:eastAsia="ko-KR"/>
        </w:rPr>
        <w:t xml:space="preserve"> is triggered. Once </w:t>
      </w:r>
      <w:r w:rsidR="00FC7C74" w:rsidRPr="00146B99">
        <w:rPr>
          <w:rFonts w:ascii="Arial" w:eastAsia="Malgun Gothic" w:hAnsi="Arial" w:cs="Arial"/>
          <w:b/>
          <w:lang w:val="en-US" w:eastAsia="ko-KR"/>
        </w:rPr>
        <w:t xml:space="preserve">the </w:t>
      </w:r>
      <w:r w:rsidRPr="00146B99">
        <w:rPr>
          <w:rFonts w:ascii="Arial" w:eastAsia="Malgun Gothic" w:hAnsi="Arial" w:cs="Arial"/>
          <w:b/>
          <w:lang w:val="en-US" w:eastAsia="ko-KR"/>
        </w:rPr>
        <w:t>BFR</w:t>
      </w:r>
      <w:r w:rsidR="00FC7C74" w:rsidRPr="00146B99">
        <w:rPr>
          <w:rFonts w:ascii="Arial" w:eastAsia="Malgun Gothic" w:hAnsi="Arial" w:cs="Arial"/>
          <w:b/>
          <w:lang w:val="en-US" w:eastAsia="ko-KR"/>
        </w:rPr>
        <w:t>Q</w:t>
      </w:r>
      <w:r w:rsidRPr="00146B99">
        <w:rPr>
          <w:rFonts w:ascii="Arial" w:eastAsia="Malgun Gothic" w:hAnsi="Arial" w:cs="Arial"/>
          <w:b/>
          <w:lang w:val="en-US" w:eastAsia="ko-KR"/>
        </w:rPr>
        <w:t xml:space="preserve"> for </w:t>
      </w:r>
      <w:r w:rsidR="00FC7C74" w:rsidRPr="00146B99">
        <w:rPr>
          <w:rFonts w:ascii="Arial" w:eastAsia="Malgun Gothic" w:hAnsi="Arial" w:cs="Arial"/>
          <w:b/>
          <w:lang w:val="en-US" w:eastAsia="ko-KR"/>
        </w:rPr>
        <w:t xml:space="preserve">a </w:t>
      </w:r>
      <w:r w:rsidRPr="00146B99">
        <w:rPr>
          <w:rFonts w:ascii="Arial" w:eastAsia="Malgun Gothic" w:hAnsi="Arial" w:cs="Arial"/>
          <w:b/>
          <w:lang w:val="en-US" w:eastAsia="ko-KR"/>
        </w:rPr>
        <w:t xml:space="preserve">SCell is triggered, it keeps pending until </w:t>
      </w:r>
      <w:r w:rsidR="00FC7C74" w:rsidRPr="00146B99">
        <w:rPr>
          <w:rFonts w:ascii="Arial" w:eastAsia="Malgun Gothic" w:hAnsi="Arial" w:cs="Arial"/>
          <w:b/>
          <w:lang w:val="en-US" w:eastAsia="ko-KR"/>
        </w:rPr>
        <w:t>BFRQ information of the corresponding SCell is included in a MAC PDU and the MAC PDU is transmitted.</w:t>
      </w:r>
    </w:p>
    <w:p w14:paraId="1813AF88" w14:textId="77777777" w:rsidR="002D4F76" w:rsidRDefault="002D4F76" w:rsidP="00591837">
      <w:pPr>
        <w:rPr>
          <w:rFonts w:eastAsia="Malgun Gothic"/>
          <w:lang w:val="en-US" w:eastAsia="ko-KR"/>
        </w:rPr>
      </w:pPr>
    </w:p>
    <w:p w14:paraId="1C922D32" w14:textId="3803DFA9" w:rsidR="00F83195" w:rsidRPr="00F301A2" w:rsidRDefault="00F83195" w:rsidP="00591837">
      <w:pPr>
        <w:rPr>
          <w:rFonts w:eastAsia="Malgun Gothic"/>
          <w:lang w:val="en-US" w:eastAsia="ko-KR"/>
        </w:rPr>
      </w:pPr>
      <w:r w:rsidRPr="00F301A2">
        <w:rPr>
          <w:rFonts w:eastAsia="Malgun Gothic"/>
          <w:lang w:val="en-US" w:eastAsia="ko-KR"/>
        </w:rPr>
        <w:t xml:space="preserve">Similar to legacy SR-BSR procedure, if BFR is triggered and pending, but there is no available UL resource for transmission, UE trigger </w:t>
      </w:r>
      <w:r w:rsidR="00F301A2" w:rsidRPr="00F301A2">
        <w:rPr>
          <w:rFonts w:eastAsia="Malgun Gothic"/>
          <w:lang w:val="en-US" w:eastAsia="ko-KR"/>
        </w:rPr>
        <w:t>SR-like indication for BFR.</w:t>
      </w:r>
    </w:p>
    <w:p w14:paraId="2EDCA3E4" w14:textId="77777777" w:rsidR="00F83195" w:rsidRPr="00AC6B1E" w:rsidRDefault="00F83195" w:rsidP="00591837">
      <w:pPr>
        <w:rPr>
          <w:rFonts w:eastAsia="Malgun Gothic"/>
          <w:b/>
          <w:lang w:val="en-US" w:eastAsia="ko-KR"/>
        </w:rPr>
      </w:pPr>
    </w:p>
    <w:p w14:paraId="7BEB80A4" w14:textId="07B786F7" w:rsidR="003B1715" w:rsidRPr="00146B99" w:rsidRDefault="003B1715" w:rsidP="00146B99">
      <w:pPr>
        <w:pStyle w:val="ListParagraph"/>
        <w:numPr>
          <w:ilvl w:val="0"/>
          <w:numId w:val="25"/>
        </w:numPr>
        <w:ind w:left="1134" w:hanging="1134"/>
        <w:rPr>
          <w:rFonts w:ascii="Arial" w:eastAsia="Malgun Gothic" w:hAnsi="Arial" w:cs="Arial"/>
          <w:b/>
          <w:lang w:val="en-US" w:eastAsia="ko-KR"/>
        </w:rPr>
      </w:pPr>
      <w:r w:rsidRPr="00146B99">
        <w:rPr>
          <w:rFonts w:ascii="Arial" w:eastAsia="Malgun Gothic" w:hAnsi="Arial" w:cs="Arial"/>
          <w:b/>
          <w:lang w:val="en-US" w:eastAsia="ko-KR"/>
        </w:rPr>
        <w:t>When a BFR</w:t>
      </w:r>
      <w:r w:rsidR="002D4F76" w:rsidRPr="00146B99">
        <w:rPr>
          <w:rFonts w:ascii="Arial" w:eastAsia="Malgun Gothic" w:hAnsi="Arial" w:cs="Arial"/>
          <w:b/>
          <w:lang w:val="en-US" w:eastAsia="ko-KR"/>
        </w:rPr>
        <w:t>Q</w:t>
      </w:r>
      <w:r w:rsidRPr="00146B99">
        <w:rPr>
          <w:rFonts w:ascii="Arial" w:eastAsia="Malgun Gothic" w:hAnsi="Arial" w:cs="Arial"/>
          <w:b/>
          <w:lang w:val="en-US" w:eastAsia="ko-KR"/>
        </w:rPr>
        <w:t xml:space="preserve"> for </w:t>
      </w:r>
      <w:r w:rsidR="002D4F76" w:rsidRPr="00146B99">
        <w:rPr>
          <w:rFonts w:ascii="Arial" w:eastAsia="Malgun Gothic" w:hAnsi="Arial" w:cs="Arial"/>
          <w:b/>
          <w:lang w:val="en-US" w:eastAsia="ko-KR"/>
        </w:rPr>
        <w:t xml:space="preserve">a </w:t>
      </w:r>
      <w:r w:rsidRPr="00146B99">
        <w:rPr>
          <w:rFonts w:ascii="Arial" w:eastAsia="Malgun Gothic" w:hAnsi="Arial" w:cs="Arial"/>
          <w:b/>
          <w:lang w:val="en-US" w:eastAsia="ko-KR"/>
        </w:rPr>
        <w:t>SCell is pending, if UE has no UL resource available to transmit the BFR</w:t>
      </w:r>
      <w:r w:rsidR="002D4F76" w:rsidRPr="00146B99">
        <w:rPr>
          <w:rFonts w:ascii="Arial" w:eastAsia="Malgun Gothic" w:hAnsi="Arial" w:cs="Arial"/>
          <w:b/>
          <w:lang w:val="en-US" w:eastAsia="ko-KR"/>
        </w:rPr>
        <w:t>Q</w:t>
      </w:r>
      <w:r w:rsidRPr="00146B99">
        <w:rPr>
          <w:rFonts w:ascii="Arial" w:eastAsia="Malgun Gothic" w:hAnsi="Arial" w:cs="Arial"/>
          <w:b/>
          <w:lang w:val="en-US" w:eastAsia="ko-KR"/>
        </w:rPr>
        <w:t xml:space="preserve"> MAC CE, SR-like indication </w:t>
      </w:r>
      <w:r w:rsidR="002D4F76" w:rsidRPr="00146B99">
        <w:rPr>
          <w:rFonts w:ascii="Arial" w:eastAsia="Malgun Gothic" w:hAnsi="Arial" w:cs="Arial"/>
          <w:b/>
          <w:lang w:val="en-US" w:eastAsia="ko-KR"/>
        </w:rPr>
        <w:t xml:space="preserve">associated with the SCell </w:t>
      </w:r>
      <w:r w:rsidRPr="00146B99">
        <w:rPr>
          <w:rFonts w:ascii="Arial" w:eastAsia="Malgun Gothic" w:hAnsi="Arial" w:cs="Arial"/>
          <w:b/>
          <w:lang w:val="en-US" w:eastAsia="ko-KR"/>
        </w:rPr>
        <w:t>is triggered.</w:t>
      </w:r>
      <w:r w:rsidR="00F301A2" w:rsidRPr="00146B99">
        <w:rPr>
          <w:rFonts w:ascii="Arial" w:eastAsia="Malgun Gothic" w:hAnsi="Arial" w:cs="Arial"/>
          <w:b/>
          <w:lang w:val="en-US" w:eastAsia="ko-KR"/>
        </w:rPr>
        <w:t xml:space="preserve"> When a SR-like indication is triggered, it keeps pending</w:t>
      </w:r>
      <w:r w:rsidR="00263603" w:rsidRPr="00146B99">
        <w:rPr>
          <w:rFonts w:ascii="Arial" w:eastAsia="Malgun Gothic" w:hAnsi="Arial" w:cs="Arial"/>
          <w:b/>
          <w:lang w:val="en-US" w:eastAsia="ko-KR"/>
        </w:rPr>
        <w:t xml:space="preserve"> until it is cancelled</w:t>
      </w:r>
      <w:r w:rsidR="00F301A2" w:rsidRPr="00146B99">
        <w:rPr>
          <w:rFonts w:ascii="Arial" w:eastAsia="Malgun Gothic" w:hAnsi="Arial" w:cs="Arial"/>
          <w:b/>
          <w:lang w:val="en-US" w:eastAsia="ko-KR"/>
        </w:rPr>
        <w:t>.</w:t>
      </w:r>
    </w:p>
    <w:p w14:paraId="45E0D3A6" w14:textId="77777777" w:rsidR="00F301A2" w:rsidRDefault="00F301A2" w:rsidP="00591837">
      <w:pPr>
        <w:rPr>
          <w:rFonts w:eastAsia="Malgun Gothic"/>
          <w:b/>
          <w:lang w:val="en-US" w:eastAsia="ko-KR"/>
        </w:rPr>
      </w:pPr>
    </w:p>
    <w:p w14:paraId="4F429A56" w14:textId="26C165A8" w:rsidR="009D4071" w:rsidRPr="00146B99" w:rsidRDefault="009D4071" w:rsidP="00146B99">
      <w:pPr>
        <w:pStyle w:val="ListParagraph"/>
        <w:numPr>
          <w:ilvl w:val="0"/>
          <w:numId w:val="25"/>
        </w:numPr>
        <w:ind w:left="1134" w:hanging="1134"/>
        <w:rPr>
          <w:rFonts w:ascii="Arial" w:eastAsia="Malgun Gothic" w:hAnsi="Arial" w:cs="Arial"/>
          <w:b/>
          <w:lang w:val="en-US" w:eastAsia="ko-KR"/>
        </w:rPr>
      </w:pPr>
      <w:r w:rsidRPr="00146B99">
        <w:rPr>
          <w:rFonts w:ascii="Arial" w:eastAsia="Malgun Gothic" w:hAnsi="Arial" w:cs="Arial"/>
          <w:b/>
          <w:lang w:val="en-US" w:eastAsia="ko-KR"/>
        </w:rPr>
        <w:t xml:space="preserve">When a SR-like indication is triggered, it keeps pending until </w:t>
      </w:r>
      <w:r w:rsidR="00020A9C" w:rsidRPr="00146B99">
        <w:rPr>
          <w:rFonts w:ascii="Arial" w:eastAsia="Malgun Gothic" w:hAnsi="Arial" w:cs="Arial"/>
          <w:b/>
          <w:lang w:val="en-US" w:eastAsia="ko-KR"/>
        </w:rPr>
        <w:t>a MAC PDU</w:t>
      </w:r>
      <w:r w:rsidR="00F301A2" w:rsidRPr="00146B99">
        <w:rPr>
          <w:rFonts w:ascii="Arial" w:eastAsia="Malgun Gothic" w:hAnsi="Arial" w:cs="Arial"/>
          <w:b/>
          <w:lang w:val="en-US" w:eastAsia="ko-KR"/>
        </w:rPr>
        <w:t xml:space="preserve"> </w:t>
      </w:r>
      <w:r w:rsidR="00020A9C" w:rsidRPr="00146B99">
        <w:rPr>
          <w:rFonts w:ascii="Arial" w:eastAsia="Malgun Gothic" w:hAnsi="Arial" w:cs="Arial"/>
          <w:b/>
          <w:lang w:val="en-US" w:eastAsia="ko-KR"/>
        </w:rPr>
        <w:t>including the</w:t>
      </w:r>
      <w:r w:rsidR="00F301A2" w:rsidRPr="00146B99">
        <w:rPr>
          <w:rFonts w:ascii="Arial" w:eastAsia="Malgun Gothic" w:hAnsi="Arial" w:cs="Arial"/>
          <w:b/>
          <w:lang w:val="en-US" w:eastAsia="ko-KR"/>
        </w:rPr>
        <w:t xml:space="preserve"> </w:t>
      </w:r>
      <w:r w:rsidR="004F7BF1" w:rsidRPr="00146B99">
        <w:rPr>
          <w:rFonts w:ascii="Arial" w:eastAsia="Malgun Gothic" w:hAnsi="Arial" w:cs="Arial"/>
          <w:b/>
          <w:lang w:val="en-US" w:eastAsia="ko-KR"/>
        </w:rPr>
        <w:t xml:space="preserve">BFRQ information of the corresponding SCell </w:t>
      </w:r>
      <w:r w:rsidR="00020A9C" w:rsidRPr="00146B99">
        <w:rPr>
          <w:rFonts w:ascii="Arial" w:eastAsia="Malgun Gothic" w:hAnsi="Arial" w:cs="Arial"/>
          <w:b/>
          <w:lang w:val="en-US" w:eastAsia="ko-KR"/>
        </w:rPr>
        <w:t>is transmitted</w:t>
      </w:r>
      <w:r w:rsidRPr="00146B99">
        <w:rPr>
          <w:rFonts w:ascii="Arial" w:eastAsia="Malgun Gothic" w:hAnsi="Arial" w:cs="Arial"/>
          <w:b/>
          <w:lang w:val="en-US" w:eastAsia="ko-KR"/>
        </w:rPr>
        <w:t>.</w:t>
      </w:r>
      <w:r w:rsidR="004A3DED" w:rsidRPr="00146B99">
        <w:rPr>
          <w:rFonts w:ascii="Arial" w:eastAsia="Malgun Gothic" w:hAnsi="Arial" w:cs="Arial"/>
          <w:b/>
          <w:lang w:val="en-US" w:eastAsia="ko-KR"/>
        </w:rPr>
        <w:t xml:space="preserve"> Those pending SR-like </w:t>
      </w:r>
      <w:r w:rsidR="004A3DED" w:rsidRPr="00146B99">
        <w:rPr>
          <w:rFonts w:ascii="Arial" w:eastAsia="Malgun Gothic" w:hAnsi="Arial" w:cs="Arial"/>
          <w:b/>
          <w:lang w:val="en-US" w:eastAsia="ko-KR"/>
        </w:rPr>
        <w:lastRenderedPageBreak/>
        <w:t>indication</w:t>
      </w:r>
      <w:r w:rsidR="002304E0" w:rsidRPr="00146B99">
        <w:rPr>
          <w:rFonts w:ascii="Arial" w:eastAsia="Malgun Gothic" w:hAnsi="Arial" w:cs="Arial"/>
          <w:b/>
          <w:lang w:val="en-US" w:eastAsia="ko-KR"/>
        </w:rPr>
        <w:t>s</w:t>
      </w:r>
      <w:r w:rsidR="004A3DED" w:rsidRPr="00146B99">
        <w:rPr>
          <w:rFonts w:ascii="Arial" w:eastAsia="Malgun Gothic" w:hAnsi="Arial" w:cs="Arial"/>
          <w:b/>
          <w:lang w:val="en-US" w:eastAsia="ko-KR"/>
        </w:rPr>
        <w:t xml:space="preserve"> whose BFRQ information is not included </w:t>
      </w:r>
      <w:r w:rsidR="002304E0" w:rsidRPr="00146B99">
        <w:rPr>
          <w:rFonts w:ascii="Arial" w:eastAsia="Malgun Gothic" w:hAnsi="Arial" w:cs="Arial"/>
          <w:b/>
          <w:lang w:val="en-US" w:eastAsia="ko-KR"/>
        </w:rPr>
        <w:t>in the transmitted MAC PDU keep</w:t>
      </w:r>
      <w:r w:rsidR="004A3DED" w:rsidRPr="00146B99">
        <w:rPr>
          <w:rFonts w:ascii="Arial" w:eastAsia="Malgun Gothic" w:hAnsi="Arial" w:cs="Arial"/>
          <w:b/>
          <w:lang w:val="en-US" w:eastAsia="ko-KR"/>
        </w:rPr>
        <w:t xml:space="preserve"> pending.</w:t>
      </w:r>
    </w:p>
    <w:p w14:paraId="7D756C45" w14:textId="77777777" w:rsidR="004F7BF1" w:rsidRDefault="004F7BF1" w:rsidP="00591837">
      <w:pPr>
        <w:rPr>
          <w:rFonts w:eastAsia="Malgun Gothic"/>
          <w:lang w:val="en-US" w:eastAsia="ko-KR"/>
        </w:rPr>
      </w:pPr>
    </w:p>
    <w:p w14:paraId="00F198AD" w14:textId="43B83320" w:rsidR="00D301DF" w:rsidRDefault="00321F08" w:rsidP="00591837">
      <w:pPr>
        <w:rPr>
          <w:rFonts w:eastAsia="Malgun Gothic"/>
          <w:lang w:val="en-US" w:eastAsia="ko-KR"/>
        </w:rPr>
      </w:pPr>
      <w:r>
        <w:rPr>
          <w:rFonts w:eastAsia="Malgun Gothic"/>
          <w:lang w:val="en-US" w:eastAsia="ko-KR"/>
        </w:rPr>
        <w:t xml:space="preserve">If </w:t>
      </w:r>
      <w:r w:rsidRPr="00321F08">
        <w:rPr>
          <w:rFonts w:eastAsia="Malgun Gothic"/>
          <w:lang w:val="en-US" w:eastAsia="ko-KR"/>
        </w:rPr>
        <w:t>SR-like indication already reaches the maximum number of PUCCH transmission</w:t>
      </w:r>
      <w:r>
        <w:rPr>
          <w:rFonts w:eastAsia="Malgun Gothic"/>
          <w:lang w:val="en-US" w:eastAsia="ko-KR"/>
        </w:rPr>
        <w:t xml:space="preserve"> for the corresponding SR configuration, we prefer to trigger CBRA as the legacy NR Uu behavior</w:t>
      </w:r>
      <w:r w:rsidR="004F7BF1">
        <w:rPr>
          <w:rFonts w:eastAsia="Malgun Gothic"/>
          <w:lang w:val="en-US" w:eastAsia="ko-KR"/>
        </w:rPr>
        <w:t xml:space="preserve"> for the</w:t>
      </w:r>
      <w:r w:rsidR="00D301DF">
        <w:rPr>
          <w:rFonts w:eastAsia="Malgun Gothic"/>
          <w:lang w:val="en-US" w:eastAsia="ko-KR"/>
        </w:rPr>
        <w:t xml:space="preserve"> </w:t>
      </w:r>
      <w:r w:rsidR="004F7BF1">
        <w:rPr>
          <w:rFonts w:eastAsia="Malgun Gothic"/>
          <w:lang w:val="en-US" w:eastAsia="ko-KR"/>
        </w:rPr>
        <w:t>following</w:t>
      </w:r>
      <w:r w:rsidR="00D301DF">
        <w:rPr>
          <w:rFonts w:eastAsia="Malgun Gothic"/>
          <w:lang w:val="en-US" w:eastAsia="ko-KR"/>
        </w:rPr>
        <w:t xml:space="preserve"> reasons:</w:t>
      </w:r>
    </w:p>
    <w:p w14:paraId="3272ACC9" w14:textId="685FE8EA" w:rsidR="00DA070B" w:rsidRDefault="00D301DF" w:rsidP="00D301DF">
      <w:pPr>
        <w:pStyle w:val="ListParagraph"/>
        <w:numPr>
          <w:ilvl w:val="0"/>
          <w:numId w:val="21"/>
        </w:numPr>
        <w:rPr>
          <w:rFonts w:eastAsia="Malgun Gothic"/>
          <w:lang w:val="en-US" w:eastAsia="ko-KR"/>
        </w:rPr>
      </w:pPr>
      <w:r>
        <w:rPr>
          <w:rFonts w:eastAsia="Malgun Gothic"/>
          <w:lang w:val="en-US" w:eastAsia="ko-KR"/>
        </w:rPr>
        <w:t>I</w:t>
      </w:r>
      <w:r w:rsidRPr="00D301DF">
        <w:rPr>
          <w:rFonts w:eastAsia="Malgun Gothic"/>
          <w:lang w:val="en-US" w:eastAsia="ko-KR"/>
        </w:rPr>
        <w:t xml:space="preserve">f we rely on NW to detect beam failure on a SCell, the latency may be quite long. So we prefer UE to </w:t>
      </w:r>
      <w:r w:rsidR="004F7BF1">
        <w:rPr>
          <w:rFonts w:eastAsia="Malgun Gothic"/>
          <w:lang w:val="en-US" w:eastAsia="ko-KR"/>
        </w:rPr>
        <w:t>actively</w:t>
      </w:r>
      <w:r w:rsidR="004F7BF1" w:rsidRPr="00D301DF">
        <w:rPr>
          <w:rFonts w:eastAsia="Malgun Gothic"/>
          <w:lang w:val="en-US" w:eastAsia="ko-KR"/>
        </w:rPr>
        <w:t xml:space="preserve"> </w:t>
      </w:r>
      <w:r w:rsidRPr="00D301DF">
        <w:rPr>
          <w:rFonts w:eastAsia="Malgun Gothic"/>
          <w:lang w:val="en-US" w:eastAsia="ko-KR"/>
        </w:rPr>
        <w:t>provide report to the NW upon SR-indication failure.</w:t>
      </w:r>
    </w:p>
    <w:p w14:paraId="66340320" w14:textId="17AA66A8" w:rsidR="00D301DF" w:rsidRPr="00D301DF" w:rsidRDefault="00D301DF" w:rsidP="00D301DF">
      <w:pPr>
        <w:pStyle w:val="ListParagraph"/>
        <w:numPr>
          <w:ilvl w:val="0"/>
          <w:numId w:val="21"/>
        </w:numPr>
        <w:rPr>
          <w:rFonts w:eastAsia="Malgun Gothic"/>
          <w:lang w:val="en-US" w:eastAsia="ko-KR"/>
        </w:rPr>
      </w:pPr>
      <w:r>
        <w:rPr>
          <w:rFonts w:eastAsia="Malgun Gothic"/>
          <w:lang w:val="en-US" w:eastAsia="ko-KR"/>
        </w:rPr>
        <w:t>If SR-like indication fails, it means UE has problem in UL. If the SR configuration for BFR is configured on PCell, of course UE should recover it as soon as possible.</w:t>
      </w:r>
    </w:p>
    <w:p w14:paraId="23D16093" w14:textId="77777777" w:rsidR="00DA070B" w:rsidRDefault="00DA070B" w:rsidP="00591837">
      <w:pPr>
        <w:rPr>
          <w:rFonts w:eastAsia="Malgun Gothic"/>
          <w:b/>
          <w:lang w:val="en-US" w:eastAsia="ko-KR"/>
        </w:rPr>
      </w:pPr>
    </w:p>
    <w:p w14:paraId="56F3DF1B" w14:textId="6465B326" w:rsidR="00DA070B" w:rsidRPr="00146B99" w:rsidRDefault="004F7BF1" w:rsidP="00146B99">
      <w:pPr>
        <w:pStyle w:val="ListParagraph"/>
        <w:numPr>
          <w:ilvl w:val="0"/>
          <w:numId w:val="25"/>
        </w:numPr>
        <w:ind w:left="1134" w:hanging="1134"/>
        <w:rPr>
          <w:rFonts w:ascii="Arial" w:eastAsia="Malgun Gothic" w:hAnsi="Arial" w:cs="Arial"/>
          <w:b/>
          <w:lang w:val="en-US" w:eastAsia="ko-KR"/>
        </w:rPr>
      </w:pPr>
      <w:r w:rsidRPr="00146B99">
        <w:rPr>
          <w:rFonts w:ascii="Arial" w:eastAsia="Malgun Gothic" w:hAnsi="Arial" w:cs="Arial"/>
          <w:b/>
          <w:lang w:val="en-US" w:eastAsia="ko-KR"/>
        </w:rPr>
        <w:t>Same as legacy NR Uu behavior, i</w:t>
      </w:r>
      <w:r w:rsidR="00DA070B" w:rsidRPr="00146B99">
        <w:rPr>
          <w:rFonts w:ascii="Arial" w:eastAsia="Malgun Gothic" w:hAnsi="Arial" w:cs="Arial"/>
          <w:b/>
          <w:lang w:val="en-US" w:eastAsia="ko-KR"/>
        </w:rPr>
        <w:t xml:space="preserve">f SR-like indication already reaches the maximum number of PUCCH transmission configured for the </w:t>
      </w:r>
      <w:r w:rsidR="004346F8" w:rsidRPr="00146B99">
        <w:rPr>
          <w:rFonts w:ascii="Arial" w:eastAsia="Malgun Gothic" w:hAnsi="Arial" w:cs="Arial"/>
          <w:b/>
          <w:lang w:val="en-US" w:eastAsia="ko-KR"/>
        </w:rPr>
        <w:t xml:space="preserve">applied </w:t>
      </w:r>
      <w:r w:rsidR="00DA070B" w:rsidRPr="00146B99">
        <w:rPr>
          <w:rFonts w:ascii="Arial" w:eastAsia="Malgun Gothic" w:hAnsi="Arial" w:cs="Arial"/>
          <w:b/>
          <w:lang w:val="en-US" w:eastAsia="ko-KR"/>
        </w:rPr>
        <w:t xml:space="preserve">SR configuration, UE </w:t>
      </w:r>
      <w:r w:rsidRPr="00146B99">
        <w:rPr>
          <w:rFonts w:ascii="Arial" w:eastAsia="Malgun Gothic" w:hAnsi="Arial" w:cs="Arial"/>
          <w:b/>
          <w:lang w:val="en-US" w:eastAsia="ko-KR"/>
        </w:rPr>
        <w:t xml:space="preserve">cancel all pending SRs and </w:t>
      </w:r>
      <w:r w:rsidR="00DA070B" w:rsidRPr="00146B99">
        <w:rPr>
          <w:rFonts w:ascii="Arial" w:eastAsia="Malgun Gothic" w:hAnsi="Arial" w:cs="Arial"/>
          <w:b/>
          <w:lang w:val="en-US" w:eastAsia="ko-KR"/>
        </w:rPr>
        <w:t>trigger contention-based RACH</w:t>
      </w:r>
      <w:r w:rsidR="00A14702" w:rsidRPr="00146B99">
        <w:rPr>
          <w:rFonts w:ascii="Arial" w:eastAsia="Malgun Gothic" w:hAnsi="Arial" w:cs="Arial"/>
          <w:b/>
          <w:lang w:val="en-US" w:eastAsia="ko-KR"/>
        </w:rPr>
        <w:t xml:space="preserve"> on SpCell</w:t>
      </w:r>
      <w:r w:rsidR="00DA070B" w:rsidRPr="00146B99">
        <w:rPr>
          <w:rFonts w:ascii="Arial" w:eastAsia="Malgun Gothic" w:hAnsi="Arial" w:cs="Arial"/>
          <w:b/>
          <w:lang w:val="en-US" w:eastAsia="ko-KR"/>
        </w:rPr>
        <w:t>.</w:t>
      </w:r>
    </w:p>
    <w:p w14:paraId="66EB7CA0" w14:textId="77777777" w:rsidR="00680D11" w:rsidRDefault="00680D11" w:rsidP="00591837">
      <w:pPr>
        <w:rPr>
          <w:rFonts w:eastAsia="Malgun Gothic"/>
          <w:b/>
          <w:lang w:val="en-US" w:eastAsia="ko-KR"/>
        </w:rPr>
      </w:pPr>
    </w:p>
    <w:p w14:paraId="5DBC14C8" w14:textId="77777777" w:rsidR="00CE5801" w:rsidRDefault="00CE5801" w:rsidP="00CE5801">
      <w:pPr>
        <w:rPr>
          <w:rFonts w:eastAsia="Malgun Gothic"/>
          <w:b/>
          <w:lang w:val="en-US" w:eastAsia="ko-KR"/>
        </w:rPr>
      </w:pPr>
    </w:p>
    <w:p w14:paraId="3F4A6E5A" w14:textId="648FE51B" w:rsidR="00CE5801" w:rsidRDefault="00CE5801" w:rsidP="00CE5801">
      <w:r w:rsidRPr="00CE5801">
        <w:rPr>
          <w:rFonts w:eastAsia="Malgun Gothic"/>
          <w:lang w:val="en-US" w:eastAsia="ko-KR"/>
        </w:rPr>
        <w:t xml:space="preserve">If it is agreed to trigger CBRA on SpCell after SR-like indication reaches its maximum transmission limit, a following question is how to handle the case when there is an ongoing RACH procedure. In LTE and NR Uu, the principle is that </w:t>
      </w:r>
      <w:r w:rsidR="00DB0723">
        <w:t>t</w:t>
      </w:r>
      <w:r w:rsidR="00DB0723" w:rsidRPr="009C21BE">
        <w:t>here is at most one Random Access procedure ongoing at any point in time in a MAC entity</w:t>
      </w:r>
      <w:r w:rsidR="00DB0723">
        <w:t xml:space="preserve">. </w:t>
      </w:r>
    </w:p>
    <w:p w14:paraId="73E0D121" w14:textId="77777777" w:rsidR="00350EDD" w:rsidRPr="00CE5801" w:rsidRDefault="00350EDD" w:rsidP="00CE5801">
      <w:pPr>
        <w:rPr>
          <w:rFonts w:eastAsia="Malgun Gothic"/>
          <w:lang w:val="en-US" w:eastAsia="ko-KR"/>
        </w:rPr>
      </w:pPr>
    </w:p>
    <w:tbl>
      <w:tblPr>
        <w:tblStyle w:val="TableGrid"/>
        <w:tblW w:w="0" w:type="auto"/>
        <w:tblLook w:val="04A0" w:firstRow="1" w:lastRow="0" w:firstColumn="1" w:lastColumn="0" w:noHBand="0" w:noVBand="1"/>
      </w:tblPr>
      <w:tblGrid>
        <w:gridCol w:w="9350"/>
      </w:tblGrid>
      <w:tr w:rsidR="00CE5801" w14:paraId="27C97F4D" w14:textId="77777777" w:rsidTr="00CE5801">
        <w:tc>
          <w:tcPr>
            <w:tcW w:w="9350" w:type="dxa"/>
          </w:tcPr>
          <w:p w14:paraId="45579C4C" w14:textId="04738EC1" w:rsidR="00CE5801" w:rsidRDefault="00CE5801" w:rsidP="00CE5801">
            <w:pPr>
              <w:pStyle w:val="NO"/>
              <w:rPr>
                <w:lang w:eastAsia="ko-KR"/>
              </w:rPr>
            </w:pPr>
            <w:bookmarkStart w:id="1" w:name="_Toc534933425"/>
            <w:r w:rsidRPr="00CE5801">
              <w:rPr>
                <w:lang w:eastAsia="ko-KR"/>
              </w:rPr>
              <w:t>5.1.1</w:t>
            </w:r>
            <w:r w:rsidRPr="00CE5801">
              <w:rPr>
                <w:lang w:eastAsia="ko-KR"/>
              </w:rPr>
              <w:tab/>
              <w:t>Random Access procedure initialization</w:t>
            </w:r>
            <w:bookmarkEnd w:id="1"/>
          </w:p>
          <w:p w14:paraId="6038392F" w14:textId="7C34DB46" w:rsidR="00CE5801" w:rsidRDefault="00CE5801" w:rsidP="00CE5801">
            <w:pPr>
              <w:pStyle w:val="NO"/>
              <w:rPr>
                <w:lang w:eastAsia="ko-KR"/>
              </w:rPr>
            </w:pPr>
            <w:r>
              <w:rPr>
                <w:lang w:eastAsia="ko-KR"/>
              </w:rPr>
              <w:t>…</w:t>
            </w:r>
          </w:p>
          <w:p w14:paraId="0605CE56" w14:textId="51BD563A" w:rsidR="00CE5801" w:rsidRPr="00CE5801" w:rsidRDefault="00CE5801" w:rsidP="00CE5801">
            <w:pPr>
              <w:pStyle w:val="NO"/>
              <w:rPr>
                <w:b/>
                <w:lang w:eastAsia="ko-KR"/>
              </w:rPr>
            </w:pPr>
            <w:r w:rsidRPr="000B541D">
              <w:rPr>
                <w:lang w:eastAsia="ko-KR"/>
              </w:rPr>
              <w:t>NOTE 1:</w:t>
            </w:r>
            <w:r w:rsidRPr="000B541D">
              <w:rPr>
                <w:lang w:eastAsia="ko-KR"/>
              </w:rPr>
              <w:tab/>
              <w:t>If a new Random Access procedure is triggered while another is already ongoing in the MAC entity, it is up to UE implementation whether to continue with the ongoing procedure or start with the new procedure (e.g. for SI request).</w:t>
            </w:r>
          </w:p>
        </w:tc>
      </w:tr>
    </w:tbl>
    <w:p w14:paraId="1ABCE6DA" w14:textId="77777777" w:rsidR="00CE5801" w:rsidRDefault="00CE5801" w:rsidP="00CE5801">
      <w:pPr>
        <w:rPr>
          <w:rFonts w:eastAsia="Malgun Gothic"/>
          <w:b/>
          <w:lang w:val="en-US" w:eastAsia="ko-KR"/>
        </w:rPr>
      </w:pPr>
    </w:p>
    <w:p w14:paraId="48C2D60E" w14:textId="1236D357" w:rsidR="00CE5801" w:rsidRPr="00CE5801" w:rsidRDefault="00CE5801" w:rsidP="00CE5801">
      <w:pPr>
        <w:rPr>
          <w:rFonts w:eastAsia="Malgun Gothic"/>
          <w:lang w:val="en-US" w:eastAsia="ko-KR"/>
        </w:rPr>
      </w:pPr>
      <w:r w:rsidRPr="00CE5801">
        <w:rPr>
          <w:rFonts w:eastAsia="Malgun Gothic"/>
          <w:lang w:val="en-US" w:eastAsia="ko-KR"/>
        </w:rPr>
        <w:t>So we have two options:</w:t>
      </w:r>
    </w:p>
    <w:p w14:paraId="62F5FEA4" w14:textId="166DC2DE" w:rsidR="00CE5801" w:rsidRPr="009A3832" w:rsidRDefault="00CE5801" w:rsidP="00CE5801">
      <w:pPr>
        <w:pStyle w:val="ListParagraph"/>
        <w:numPr>
          <w:ilvl w:val="0"/>
          <w:numId w:val="22"/>
        </w:numPr>
        <w:rPr>
          <w:rFonts w:eastAsia="Malgun Gothic"/>
          <w:lang w:val="en-US" w:eastAsia="ko-KR"/>
        </w:rPr>
      </w:pPr>
      <w:r w:rsidRPr="009A3832">
        <w:rPr>
          <w:rFonts w:eastAsia="Malgun Gothic"/>
          <w:b/>
          <w:lang w:val="en-US" w:eastAsia="ko-KR"/>
        </w:rPr>
        <w:t>Option 1: Follow NR Uu principle</w:t>
      </w:r>
      <w:r>
        <w:rPr>
          <w:rFonts w:eastAsia="Malgun Gothic"/>
          <w:lang w:val="en-US" w:eastAsia="ko-KR"/>
        </w:rPr>
        <w:t xml:space="preserve"> – it is up to UE implementation </w:t>
      </w:r>
      <w:r w:rsidR="009A3832" w:rsidRPr="000B541D">
        <w:rPr>
          <w:lang w:eastAsia="ko-KR"/>
        </w:rPr>
        <w:t>whether to continue with the ongoing procedure or start with the new procedure</w:t>
      </w:r>
    </w:p>
    <w:p w14:paraId="136363E5" w14:textId="50E20DB5" w:rsidR="00A12E22" w:rsidRPr="00A12E22" w:rsidRDefault="009A3832" w:rsidP="00CE5801">
      <w:pPr>
        <w:pStyle w:val="ListParagraph"/>
        <w:numPr>
          <w:ilvl w:val="0"/>
          <w:numId w:val="22"/>
        </w:numPr>
        <w:rPr>
          <w:rFonts w:eastAsia="Malgun Gothic"/>
          <w:lang w:val="en-US" w:eastAsia="ko-KR"/>
        </w:rPr>
      </w:pPr>
      <w:r>
        <w:rPr>
          <w:rFonts w:eastAsia="Malgun Gothic"/>
          <w:b/>
          <w:lang w:val="en-US" w:eastAsia="ko-KR"/>
        </w:rPr>
        <w:t xml:space="preserve">Option 2: </w:t>
      </w:r>
      <w:r w:rsidR="00A12E22">
        <w:rPr>
          <w:rFonts w:eastAsia="Malgun Gothic"/>
          <w:b/>
          <w:lang w:val="en-US" w:eastAsia="ko-KR"/>
        </w:rPr>
        <w:t>Specify detailed RACH prioritization rule for BFR</w:t>
      </w:r>
    </w:p>
    <w:p w14:paraId="33829EB1" w14:textId="21ACB7DD" w:rsidR="009A3832" w:rsidRPr="00A12E22" w:rsidRDefault="009A3832" w:rsidP="009A3832">
      <w:pPr>
        <w:pStyle w:val="ListParagraph"/>
        <w:numPr>
          <w:ilvl w:val="1"/>
          <w:numId w:val="22"/>
        </w:numPr>
        <w:rPr>
          <w:rFonts w:eastAsia="Malgun Gothic"/>
          <w:lang w:val="en-US" w:eastAsia="ko-KR"/>
        </w:rPr>
      </w:pPr>
      <w:r w:rsidRPr="00A12E22">
        <w:rPr>
          <w:rFonts w:eastAsia="Malgun Gothic"/>
          <w:lang w:val="en-US" w:eastAsia="ko-KR"/>
        </w:rPr>
        <w:t xml:space="preserve">For example, </w:t>
      </w:r>
      <w:r w:rsidR="00A12E22" w:rsidRPr="00A12E22">
        <w:rPr>
          <w:rFonts w:eastAsia="Malgun Gothic"/>
          <w:lang w:val="en-US" w:eastAsia="ko-KR"/>
        </w:rPr>
        <w:t xml:space="preserve">we can always prioritize the RACH procedure triggered by BFRQ.  </w:t>
      </w:r>
      <w:r w:rsidR="00A12E22">
        <w:rPr>
          <w:rFonts w:eastAsia="Malgun Gothic"/>
          <w:lang w:val="en-US" w:eastAsia="ko-KR"/>
        </w:rPr>
        <w:t>T</w:t>
      </w:r>
      <w:r w:rsidRPr="00A12E22">
        <w:rPr>
          <w:rFonts w:eastAsia="Malgun Gothic"/>
          <w:lang w:val="en-US" w:eastAsia="ko-KR"/>
        </w:rPr>
        <w:t xml:space="preserve">he priority order could be </w:t>
      </w:r>
      <w:r w:rsidR="00613A8C">
        <w:rPr>
          <w:rFonts w:eastAsia="Malgun Gothic"/>
          <w:lang w:val="en-US" w:eastAsia="ko-KR"/>
        </w:rPr>
        <w:t xml:space="preserve">(handover or </w:t>
      </w:r>
      <w:r w:rsidRPr="00A12E22">
        <w:rPr>
          <w:rFonts w:eastAsia="Malgun Gothic"/>
          <w:lang w:val="en-US" w:eastAsia="ko-KR"/>
        </w:rPr>
        <w:t>BFRQ for SpCell</w:t>
      </w:r>
      <w:r w:rsidR="00613A8C">
        <w:rPr>
          <w:rFonts w:eastAsia="Malgun Gothic"/>
          <w:lang w:val="en-US" w:eastAsia="ko-KR"/>
        </w:rPr>
        <w:t xml:space="preserve"> )</w:t>
      </w:r>
      <w:r w:rsidRPr="00A12E22">
        <w:rPr>
          <w:rFonts w:eastAsia="Malgun Gothic"/>
          <w:lang w:val="en-US" w:eastAsia="ko-KR"/>
        </w:rPr>
        <w:t xml:space="preserve"> &gt; BFRQ for SCell &gt; </w:t>
      </w:r>
      <w:r w:rsidR="00DB0723" w:rsidRPr="00A12E22">
        <w:rPr>
          <w:rFonts w:eastAsia="Malgun Gothic"/>
          <w:lang w:val="en-US" w:eastAsia="ko-KR"/>
        </w:rPr>
        <w:t>other RACH intentions (e.g. for BSR)</w:t>
      </w:r>
    </w:p>
    <w:p w14:paraId="62B8B49E" w14:textId="328F269E" w:rsidR="00CE5801" w:rsidRPr="00613A8C" w:rsidRDefault="00613A8C" w:rsidP="00CE5801">
      <w:pPr>
        <w:rPr>
          <w:rFonts w:eastAsia="Malgun Gothic"/>
          <w:lang w:val="en-US" w:eastAsia="ko-KR"/>
        </w:rPr>
      </w:pPr>
      <w:r>
        <w:rPr>
          <w:rFonts w:eastAsia="Malgun Gothic"/>
          <w:lang w:val="en-US" w:eastAsia="ko-KR"/>
        </w:rPr>
        <w:t>The benefit of RACH prioritization, if any, is to inform gNB of BFR for SCell earlier. Whether we have the latency gain depends on whether UE has configured PRACH resource to inform gNB of BFR for SCell. If there is no dedicated PRACH resource for UE to trigger CBRA for SR-like indication failure, gNB then cannot know the RACH intention until Msg3 reception. In this way, stop ongoing RACH procedure and start a new RACH procedure for BFR will cause additional latency than continuing ongoing RACH procedure.</w:t>
      </w:r>
      <w:r w:rsidR="0012280A">
        <w:rPr>
          <w:rFonts w:eastAsia="Malgun Gothic"/>
          <w:lang w:val="en-US" w:eastAsia="ko-KR"/>
        </w:rPr>
        <w:t xml:space="preserve"> Moreover, it is trivial to specify detailed timing for UE to determine whether to stop ongoing RACH procedure, e.g. if the ongoing RACH procedure is in preamble transmission phase, stop it; if UE already sends Msg3 for the ongoing RACH procedure, continue it. So, w</w:t>
      </w:r>
      <w:r w:rsidRPr="00613A8C">
        <w:rPr>
          <w:rFonts w:eastAsia="Malgun Gothic"/>
          <w:lang w:val="en-US" w:eastAsia="ko-KR"/>
        </w:rPr>
        <w:t>e prefer option 1 (i.e., follow legacy NR MAC behavior)</w:t>
      </w:r>
      <w:r w:rsidR="0012280A">
        <w:rPr>
          <w:rFonts w:eastAsia="Malgun Gothic"/>
          <w:lang w:val="en-US" w:eastAsia="ko-KR"/>
        </w:rPr>
        <w:t xml:space="preserve"> and do not specify any RACH prioritization rule for BFR</w:t>
      </w:r>
      <w:r>
        <w:rPr>
          <w:rFonts w:eastAsia="Malgun Gothic"/>
          <w:lang w:val="en-US" w:eastAsia="ko-KR"/>
        </w:rPr>
        <w:t xml:space="preserve">. </w:t>
      </w:r>
    </w:p>
    <w:p w14:paraId="38C9577C" w14:textId="77777777" w:rsidR="0012280A" w:rsidRDefault="0012280A" w:rsidP="00591837">
      <w:pPr>
        <w:rPr>
          <w:rFonts w:eastAsia="Malgun Gothic"/>
          <w:b/>
          <w:highlight w:val="green"/>
          <w:lang w:val="en-US" w:eastAsia="ko-KR"/>
        </w:rPr>
      </w:pPr>
    </w:p>
    <w:p w14:paraId="5902C1C9" w14:textId="297E7EDB" w:rsidR="00B66DD5" w:rsidRPr="00146B99" w:rsidRDefault="0012280A" w:rsidP="00146B99">
      <w:pPr>
        <w:pStyle w:val="ListParagraph"/>
        <w:numPr>
          <w:ilvl w:val="0"/>
          <w:numId w:val="25"/>
        </w:numPr>
        <w:ind w:left="1134" w:hanging="1134"/>
        <w:rPr>
          <w:rFonts w:ascii="Arial" w:eastAsia="Malgun Gothic" w:hAnsi="Arial" w:cs="Arial"/>
          <w:b/>
          <w:lang w:val="en-US" w:eastAsia="ko-KR"/>
        </w:rPr>
      </w:pPr>
      <w:r w:rsidRPr="00146B99">
        <w:rPr>
          <w:rFonts w:ascii="Arial" w:eastAsia="Malgun Gothic" w:hAnsi="Arial" w:cs="Arial"/>
          <w:b/>
          <w:lang w:val="en-US" w:eastAsia="ko-KR"/>
        </w:rPr>
        <w:t>If CBRA fallback for SR-like indication failure is agreed, RAN2 do not specify RACH prioritization rule for stopping or continuing ongoing RACH procedure</w:t>
      </w:r>
      <w:r w:rsidR="00204F1D" w:rsidRPr="00146B99">
        <w:rPr>
          <w:rFonts w:ascii="Arial" w:eastAsia="Malgun Gothic" w:hAnsi="Arial" w:cs="Arial"/>
          <w:b/>
          <w:lang w:val="en-US" w:eastAsia="ko-KR"/>
        </w:rPr>
        <w:t>.</w:t>
      </w:r>
    </w:p>
    <w:p w14:paraId="029A7D59" w14:textId="77777777" w:rsidR="003B1715" w:rsidRDefault="003B1715" w:rsidP="00591837">
      <w:pPr>
        <w:rPr>
          <w:rFonts w:eastAsia="Malgun Gothic"/>
          <w:lang w:val="en-US" w:eastAsia="ko-KR"/>
        </w:rPr>
      </w:pPr>
    </w:p>
    <w:p w14:paraId="116767AF" w14:textId="3C186824" w:rsidR="00FA2FCA" w:rsidRPr="00FA2FCA" w:rsidRDefault="00FA2FCA" w:rsidP="00591837">
      <w:pPr>
        <w:rPr>
          <w:rFonts w:eastAsia="Malgun Gothic"/>
          <w:lang w:eastAsia="ko-KR"/>
        </w:rPr>
      </w:pPr>
      <w:r>
        <w:rPr>
          <w:rFonts w:eastAsia="Malgun Gothic"/>
          <w:lang w:val="en-US" w:eastAsia="ko-KR"/>
        </w:rPr>
        <w:t xml:space="preserve">As mentioned in RAN1 LS, </w:t>
      </w:r>
      <w:r w:rsidRPr="00FA2FCA">
        <w:rPr>
          <w:rFonts w:eastAsia="Malgun Gothic"/>
          <w:lang w:val="en-US" w:eastAsia="ko-KR"/>
        </w:rPr>
        <w:t>RAN1 suggests RAN2 to give higher priority for SCell BFR PUCCH than normal SR</w:t>
      </w:r>
      <w:r w:rsidR="001A3ABA">
        <w:rPr>
          <w:rFonts w:eastAsia="Malgun Gothic"/>
          <w:lang w:val="en-US" w:eastAsia="ko-KR"/>
        </w:rPr>
        <w:t>. From RAN2 point of view, the priority can be reflected when multiple PUCCH resource are overlapped, i.e. UE can select the prioritized one to transmit when multiple PUCCH resource are overlapped.</w:t>
      </w:r>
    </w:p>
    <w:p w14:paraId="1219904F" w14:textId="74D54E2E" w:rsidR="000C4220" w:rsidRPr="00146B99" w:rsidRDefault="00FA2FCA" w:rsidP="00146B99">
      <w:pPr>
        <w:pStyle w:val="ListParagraph"/>
        <w:numPr>
          <w:ilvl w:val="0"/>
          <w:numId w:val="25"/>
        </w:numPr>
        <w:ind w:left="1134" w:hanging="1134"/>
        <w:rPr>
          <w:rFonts w:ascii="Arial" w:eastAsia="Malgun Gothic" w:hAnsi="Arial" w:cs="Arial"/>
          <w:b/>
          <w:lang w:val="en-US" w:eastAsia="ko-KR"/>
        </w:rPr>
      </w:pPr>
      <w:r w:rsidRPr="00146B99">
        <w:rPr>
          <w:rFonts w:ascii="Arial" w:eastAsia="Malgun Gothic" w:hAnsi="Arial" w:cs="Arial"/>
          <w:b/>
          <w:lang w:val="en-US" w:eastAsia="ko-KR"/>
        </w:rPr>
        <w:t>If PUCCH for SR-like indication is overlapped with PUCCH for normal SR, UE select to send the PUCCH for SR-like indication.</w:t>
      </w:r>
    </w:p>
    <w:p w14:paraId="047D8238" w14:textId="77777777" w:rsidR="00F83195" w:rsidRDefault="00F83195" w:rsidP="00937FDA">
      <w:pPr>
        <w:pStyle w:val="CRCoverPage"/>
        <w:spacing w:before="120"/>
        <w:jc w:val="both"/>
        <w:rPr>
          <w:rFonts w:eastAsia="Malgun Gothic"/>
          <w:b/>
          <w:lang w:val="en-US" w:eastAsia="ko-KR"/>
        </w:rPr>
      </w:pPr>
    </w:p>
    <w:p w14:paraId="36BA6DDA" w14:textId="4D17B616" w:rsidR="00AF185B" w:rsidRDefault="000C4220" w:rsidP="00AF185B">
      <w:pPr>
        <w:pStyle w:val="Heading2"/>
        <w:numPr>
          <w:ilvl w:val="1"/>
          <w:numId w:val="3"/>
        </w:numPr>
        <w:ind w:left="0" w:firstLine="0"/>
        <w:rPr>
          <w:rFonts w:eastAsia="Malgun Gothic"/>
          <w:lang w:val="en-US" w:eastAsia="ko-KR"/>
        </w:rPr>
      </w:pPr>
      <w:r>
        <w:rPr>
          <w:rFonts w:eastAsia="Malgun Gothic"/>
          <w:lang w:val="en-US" w:eastAsia="ko-KR"/>
        </w:rPr>
        <w:t>BFR MAC CE</w:t>
      </w:r>
    </w:p>
    <w:p w14:paraId="7E616245" w14:textId="0C7AB45B" w:rsidR="00F57076" w:rsidRDefault="009D29B1" w:rsidP="009D29B1">
      <w:pPr>
        <w:pStyle w:val="Heading2"/>
        <w:numPr>
          <w:ilvl w:val="2"/>
          <w:numId w:val="3"/>
        </w:numPr>
        <w:ind w:left="0" w:firstLine="0"/>
        <w:rPr>
          <w:rFonts w:eastAsia="Malgun Gothic"/>
          <w:lang w:val="en-US" w:eastAsia="ko-KR"/>
        </w:rPr>
      </w:pPr>
      <w:r>
        <w:rPr>
          <w:rFonts w:eastAsia="Malgun Gothic"/>
          <w:lang w:val="en-US" w:eastAsia="ko-KR"/>
        </w:rPr>
        <w:t>Priority</w:t>
      </w:r>
      <w:r w:rsidR="007A7BE3">
        <w:rPr>
          <w:rFonts w:eastAsia="Malgun Gothic"/>
          <w:lang w:val="en-US" w:eastAsia="ko-KR"/>
        </w:rPr>
        <w:t xml:space="preserve"> order</w:t>
      </w:r>
      <w:r>
        <w:rPr>
          <w:rFonts w:eastAsia="Malgun Gothic"/>
          <w:lang w:val="en-US" w:eastAsia="ko-KR"/>
        </w:rPr>
        <w:t xml:space="preserve"> of BFR MAC CE</w:t>
      </w:r>
    </w:p>
    <w:p w14:paraId="1DEFB500" w14:textId="4724609F" w:rsidR="00EA3ED3" w:rsidRPr="00EA3ED3" w:rsidRDefault="00EA3ED3" w:rsidP="00EA3ED3">
      <w:pPr>
        <w:rPr>
          <w:rFonts w:eastAsia="Malgun Gothic"/>
          <w:lang w:val="en-US" w:eastAsia="ko-KR"/>
        </w:rPr>
      </w:pPr>
      <w:r>
        <w:rPr>
          <w:rFonts w:eastAsia="Malgun Gothic"/>
          <w:lang w:val="en-US" w:eastAsia="ko-KR"/>
        </w:rPr>
        <w:t>In NR, the MAC CE priority order is as follows:</w:t>
      </w:r>
    </w:p>
    <w:tbl>
      <w:tblPr>
        <w:tblStyle w:val="TableGrid"/>
        <w:tblW w:w="0" w:type="auto"/>
        <w:tblLook w:val="04A0" w:firstRow="1" w:lastRow="0" w:firstColumn="1" w:lastColumn="0" w:noHBand="0" w:noVBand="1"/>
      </w:tblPr>
      <w:tblGrid>
        <w:gridCol w:w="9350"/>
      </w:tblGrid>
      <w:tr w:rsidR="00EA3ED3" w14:paraId="7FD1517C" w14:textId="77777777" w:rsidTr="00EA3ED3">
        <w:tc>
          <w:tcPr>
            <w:tcW w:w="9350" w:type="dxa"/>
          </w:tcPr>
          <w:p w14:paraId="5C061A1F" w14:textId="77777777" w:rsidR="00EA3ED3" w:rsidRPr="00EA3ED3" w:rsidRDefault="00EA3ED3" w:rsidP="00EA3ED3">
            <w:pPr>
              <w:overflowPunct/>
              <w:autoSpaceDE/>
              <w:autoSpaceDN/>
              <w:adjustRightInd/>
              <w:spacing w:after="180"/>
              <w:jc w:val="left"/>
              <w:textAlignment w:val="auto"/>
              <w:rPr>
                <w:rFonts w:ascii="Times New Roman" w:eastAsia="Malgun Gothic" w:hAnsi="Times New Roman"/>
                <w:lang w:eastAsia="ko-KR"/>
              </w:rPr>
            </w:pPr>
            <w:r w:rsidRPr="00EA3ED3">
              <w:rPr>
                <w:rFonts w:ascii="Times New Roman" w:eastAsia="Malgun Gothic" w:hAnsi="Times New Roman"/>
                <w:lang w:eastAsia="ko-KR"/>
              </w:rPr>
              <w:t>Logical channels shall be prioritised in accordance with the following order (highest priority listed first):</w:t>
            </w:r>
          </w:p>
          <w:p w14:paraId="71250B66" w14:textId="77777777" w:rsidR="00EA3ED3" w:rsidRPr="00EA3ED3" w:rsidRDefault="00EA3ED3" w:rsidP="00EA3ED3">
            <w:pPr>
              <w:overflowPunct/>
              <w:autoSpaceDE/>
              <w:autoSpaceDN/>
              <w:adjustRightInd/>
              <w:spacing w:after="180"/>
              <w:ind w:left="568" w:hanging="284"/>
              <w:jc w:val="left"/>
              <w:textAlignment w:val="auto"/>
              <w:rPr>
                <w:rFonts w:ascii="Times New Roman" w:eastAsia="Malgun Gothic" w:hAnsi="Times New Roman"/>
                <w:lang w:eastAsia="ko-KR"/>
              </w:rPr>
            </w:pPr>
            <w:r w:rsidRPr="00EA3ED3">
              <w:rPr>
                <w:rFonts w:ascii="Times New Roman" w:eastAsia="Malgun Gothic" w:hAnsi="Times New Roman"/>
                <w:lang w:eastAsia="ko-KR"/>
              </w:rPr>
              <w:t>-</w:t>
            </w:r>
            <w:r w:rsidRPr="00EA3ED3">
              <w:rPr>
                <w:rFonts w:ascii="Times New Roman" w:eastAsia="Malgun Gothic" w:hAnsi="Times New Roman"/>
                <w:lang w:eastAsia="ko-KR"/>
              </w:rPr>
              <w:tab/>
              <w:t>C-RNTI MAC CE or data from UL-CCCH;</w:t>
            </w:r>
          </w:p>
          <w:p w14:paraId="353336BA" w14:textId="77777777" w:rsidR="00EA3ED3" w:rsidRPr="00EA3ED3" w:rsidRDefault="00EA3ED3" w:rsidP="00EA3ED3">
            <w:pPr>
              <w:overflowPunct/>
              <w:autoSpaceDE/>
              <w:autoSpaceDN/>
              <w:adjustRightInd/>
              <w:spacing w:after="180"/>
              <w:ind w:left="568" w:hanging="284"/>
              <w:jc w:val="left"/>
              <w:textAlignment w:val="auto"/>
              <w:rPr>
                <w:rFonts w:ascii="Times New Roman" w:eastAsia="Malgun Gothic" w:hAnsi="Times New Roman"/>
                <w:lang w:eastAsia="ko-KR"/>
              </w:rPr>
            </w:pPr>
            <w:r w:rsidRPr="00EA3ED3">
              <w:rPr>
                <w:rFonts w:ascii="Times New Roman" w:eastAsia="Malgun Gothic" w:hAnsi="Times New Roman"/>
                <w:lang w:eastAsia="ko-KR"/>
              </w:rPr>
              <w:t>-</w:t>
            </w:r>
            <w:r w:rsidRPr="00EA3ED3">
              <w:rPr>
                <w:rFonts w:ascii="Times New Roman" w:eastAsia="Malgun Gothic" w:hAnsi="Times New Roman"/>
                <w:lang w:eastAsia="ko-KR"/>
              </w:rPr>
              <w:tab/>
              <w:t>Configured Grant Confirmation MAC CE;</w:t>
            </w:r>
          </w:p>
          <w:p w14:paraId="08C73BFD" w14:textId="77777777" w:rsidR="00EA3ED3" w:rsidRPr="00EA3ED3" w:rsidRDefault="00EA3ED3" w:rsidP="00EA3ED3">
            <w:pPr>
              <w:overflowPunct/>
              <w:autoSpaceDE/>
              <w:autoSpaceDN/>
              <w:adjustRightInd/>
              <w:spacing w:after="180"/>
              <w:ind w:left="568" w:hanging="284"/>
              <w:jc w:val="left"/>
              <w:textAlignment w:val="auto"/>
              <w:rPr>
                <w:rFonts w:ascii="Times New Roman" w:eastAsia="Malgun Gothic" w:hAnsi="Times New Roman"/>
                <w:lang w:eastAsia="ko-KR"/>
              </w:rPr>
            </w:pPr>
            <w:r w:rsidRPr="00EA3ED3">
              <w:rPr>
                <w:rFonts w:ascii="Times New Roman" w:eastAsia="Malgun Gothic" w:hAnsi="Times New Roman"/>
                <w:lang w:eastAsia="ko-KR"/>
              </w:rPr>
              <w:t>-</w:t>
            </w:r>
            <w:r w:rsidRPr="00EA3ED3">
              <w:rPr>
                <w:rFonts w:ascii="Times New Roman" w:eastAsia="Malgun Gothic" w:hAnsi="Times New Roman"/>
                <w:lang w:eastAsia="ko-KR"/>
              </w:rPr>
              <w:tab/>
              <w:t>MAC CE for BSR, with exception of BSR included for padding;</w:t>
            </w:r>
          </w:p>
          <w:p w14:paraId="5E551826" w14:textId="77777777" w:rsidR="00EA3ED3" w:rsidRPr="00EA3ED3" w:rsidRDefault="00EA3ED3" w:rsidP="00EA3ED3">
            <w:pPr>
              <w:overflowPunct/>
              <w:autoSpaceDE/>
              <w:autoSpaceDN/>
              <w:adjustRightInd/>
              <w:spacing w:after="180"/>
              <w:ind w:left="568" w:hanging="284"/>
              <w:jc w:val="left"/>
              <w:textAlignment w:val="auto"/>
              <w:rPr>
                <w:rFonts w:ascii="Times New Roman" w:eastAsia="Malgun Gothic" w:hAnsi="Times New Roman"/>
                <w:lang w:eastAsia="ko-KR"/>
              </w:rPr>
            </w:pPr>
            <w:r w:rsidRPr="00EA3ED3">
              <w:rPr>
                <w:rFonts w:ascii="Times New Roman" w:eastAsia="Malgun Gothic" w:hAnsi="Times New Roman"/>
                <w:lang w:eastAsia="ko-KR"/>
              </w:rPr>
              <w:t>-</w:t>
            </w:r>
            <w:r w:rsidRPr="00EA3ED3">
              <w:rPr>
                <w:rFonts w:ascii="Times New Roman" w:eastAsia="Malgun Gothic" w:hAnsi="Times New Roman"/>
                <w:lang w:eastAsia="ko-KR"/>
              </w:rPr>
              <w:tab/>
              <w:t>Single Entry PHR MAC CE or Multiple Entry PHR MAC CE;</w:t>
            </w:r>
          </w:p>
          <w:p w14:paraId="018C4F56" w14:textId="77777777" w:rsidR="00EA3ED3" w:rsidRPr="00EA3ED3" w:rsidRDefault="00EA3ED3" w:rsidP="00EA3ED3">
            <w:pPr>
              <w:overflowPunct/>
              <w:autoSpaceDE/>
              <w:autoSpaceDN/>
              <w:adjustRightInd/>
              <w:spacing w:after="180"/>
              <w:ind w:left="568" w:hanging="284"/>
              <w:jc w:val="left"/>
              <w:textAlignment w:val="auto"/>
              <w:rPr>
                <w:rFonts w:ascii="Times New Roman" w:eastAsia="Malgun Gothic" w:hAnsi="Times New Roman"/>
                <w:lang w:eastAsia="ko-KR"/>
              </w:rPr>
            </w:pPr>
            <w:r w:rsidRPr="00EA3ED3">
              <w:rPr>
                <w:rFonts w:ascii="Times New Roman" w:eastAsia="Malgun Gothic" w:hAnsi="Times New Roman"/>
                <w:lang w:eastAsia="ko-KR"/>
              </w:rPr>
              <w:t>-</w:t>
            </w:r>
            <w:r w:rsidRPr="00EA3ED3">
              <w:rPr>
                <w:rFonts w:ascii="Times New Roman" w:eastAsia="Malgun Gothic" w:hAnsi="Times New Roman"/>
                <w:lang w:eastAsia="ko-KR"/>
              </w:rPr>
              <w:tab/>
              <w:t>data from any Logical Channel, except data from UL-CCCH;</w:t>
            </w:r>
          </w:p>
          <w:p w14:paraId="7ECC4E6F" w14:textId="77777777" w:rsidR="00EA3ED3" w:rsidRPr="00EA3ED3" w:rsidRDefault="00EA3ED3" w:rsidP="00EA3ED3">
            <w:pPr>
              <w:overflowPunct/>
              <w:autoSpaceDE/>
              <w:autoSpaceDN/>
              <w:adjustRightInd/>
              <w:spacing w:after="180"/>
              <w:ind w:left="568" w:hanging="284"/>
              <w:jc w:val="left"/>
              <w:textAlignment w:val="auto"/>
              <w:rPr>
                <w:rFonts w:ascii="Times New Roman" w:eastAsia="Malgun Gothic" w:hAnsi="Times New Roman"/>
                <w:lang w:eastAsia="ko-KR"/>
              </w:rPr>
            </w:pPr>
            <w:r w:rsidRPr="00EA3ED3">
              <w:rPr>
                <w:rFonts w:ascii="Times New Roman" w:eastAsia="Malgun Gothic" w:hAnsi="Times New Roman"/>
                <w:lang w:eastAsia="ko-KR"/>
              </w:rPr>
              <w:t>-</w:t>
            </w:r>
            <w:r w:rsidRPr="00EA3ED3">
              <w:rPr>
                <w:rFonts w:ascii="Times New Roman" w:eastAsia="Malgun Gothic" w:hAnsi="Times New Roman"/>
                <w:lang w:eastAsia="ko-KR"/>
              </w:rPr>
              <w:tab/>
              <w:t>MAC CE for Recommended bit rate query;</w:t>
            </w:r>
          </w:p>
          <w:p w14:paraId="26936689" w14:textId="72436111" w:rsidR="00EA3ED3" w:rsidRPr="00EA3ED3" w:rsidRDefault="00EA3ED3" w:rsidP="00EA3ED3">
            <w:pPr>
              <w:overflowPunct/>
              <w:autoSpaceDE/>
              <w:autoSpaceDN/>
              <w:adjustRightInd/>
              <w:spacing w:after="180"/>
              <w:ind w:left="568" w:hanging="284"/>
              <w:jc w:val="left"/>
              <w:textAlignment w:val="auto"/>
              <w:rPr>
                <w:rFonts w:eastAsia="Malgun Gothic"/>
                <w:lang w:eastAsia="ko-KR"/>
              </w:rPr>
            </w:pPr>
            <w:r w:rsidRPr="00EA3ED3">
              <w:rPr>
                <w:rFonts w:ascii="Times New Roman" w:eastAsia="Malgun Gothic" w:hAnsi="Times New Roman"/>
                <w:lang w:eastAsia="ko-KR"/>
              </w:rPr>
              <w:t>-</w:t>
            </w:r>
            <w:r w:rsidRPr="00EA3ED3">
              <w:rPr>
                <w:rFonts w:ascii="Times New Roman" w:eastAsia="Malgun Gothic" w:hAnsi="Times New Roman"/>
                <w:lang w:eastAsia="ko-KR"/>
              </w:rPr>
              <w:tab/>
              <w:t>MAC CE for BSR included for padding.</w:t>
            </w:r>
          </w:p>
        </w:tc>
      </w:tr>
    </w:tbl>
    <w:p w14:paraId="1048B546" w14:textId="77777777" w:rsidR="00645DE3" w:rsidRDefault="00645DE3" w:rsidP="00CF4336">
      <w:pPr>
        <w:rPr>
          <w:rFonts w:eastAsia="Malgun Gothic"/>
          <w:lang w:val="en-US" w:eastAsia="ko-KR"/>
        </w:rPr>
      </w:pPr>
    </w:p>
    <w:p w14:paraId="599B9BB0" w14:textId="47CAE09D" w:rsidR="00EA3ED3" w:rsidRPr="00CF4336" w:rsidRDefault="00EA3ED3" w:rsidP="00CF4336">
      <w:pPr>
        <w:rPr>
          <w:rFonts w:eastAsia="Malgun Gothic"/>
          <w:lang w:val="en-US" w:eastAsia="ko-KR"/>
        </w:rPr>
      </w:pPr>
      <w:r>
        <w:rPr>
          <w:rFonts w:eastAsia="Malgun Gothic"/>
          <w:lang w:val="en-US" w:eastAsia="ko-KR"/>
        </w:rPr>
        <w:t>We think the BFR MAC CE should be at least with a higher priority than non-padding BSR due to its stringent latency requirement. Besides, its priority should be lower than C-RNTI MAC CE considering that a RRC connected UE sends the BFR MAC CE in Msg3, and the Msg3 should at least include C-RNTI MAC CE. Therefore, we have the following proposal:</w:t>
      </w:r>
    </w:p>
    <w:p w14:paraId="0819D21F" w14:textId="3AB3329D" w:rsidR="00A577D4" w:rsidRPr="00146B99" w:rsidRDefault="0037185B" w:rsidP="00146B99">
      <w:pPr>
        <w:pStyle w:val="ListParagraph"/>
        <w:numPr>
          <w:ilvl w:val="0"/>
          <w:numId w:val="25"/>
        </w:numPr>
        <w:ind w:left="1134" w:hanging="1134"/>
        <w:rPr>
          <w:rFonts w:ascii="Arial" w:eastAsia="Malgun Gothic" w:hAnsi="Arial" w:cs="Arial"/>
          <w:b/>
          <w:lang w:val="en-US" w:eastAsia="ko-KR"/>
        </w:rPr>
      </w:pPr>
      <w:r w:rsidRPr="00146B99">
        <w:rPr>
          <w:rFonts w:ascii="Arial" w:eastAsia="Malgun Gothic" w:hAnsi="Arial" w:cs="Arial"/>
          <w:b/>
          <w:lang w:val="en-US" w:eastAsia="ko-KR"/>
        </w:rPr>
        <w:t>The priority of BFR MAC CE is put after “C-RNTI MAC CE or data from UL-CCCH” and before “Configured Grant Confirmation MAC CE”.</w:t>
      </w:r>
    </w:p>
    <w:p w14:paraId="139C59BC" w14:textId="1CCD6920" w:rsidR="009F30C2" w:rsidRDefault="009F30C2" w:rsidP="009F30C2">
      <w:pPr>
        <w:pStyle w:val="Heading2"/>
        <w:numPr>
          <w:ilvl w:val="2"/>
          <w:numId w:val="3"/>
        </w:numPr>
        <w:ind w:left="0" w:firstLine="0"/>
        <w:rPr>
          <w:rFonts w:eastAsia="Malgun Gothic"/>
          <w:lang w:val="en-US" w:eastAsia="ko-KR"/>
        </w:rPr>
      </w:pPr>
      <w:r>
        <w:rPr>
          <w:rFonts w:eastAsia="Malgun Gothic"/>
          <w:lang w:val="en-US" w:eastAsia="ko-KR"/>
        </w:rPr>
        <w:t>Format of BFR MAC CE</w:t>
      </w:r>
    </w:p>
    <w:p w14:paraId="514D3B7B" w14:textId="77777777" w:rsidR="00982663" w:rsidRDefault="00982663" w:rsidP="00937FDA">
      <w:pPr>
        <w:pStyle w:val="CRCoverPage"/>
        <w:spacing w:before="120"/>
        <w:jc w:val="both"/>
        <w:rPr>
          <w:b/>
          <w:lang w:val="en-US"/>
        </w:rPr>
      </w:pPr>
    </w:p>
    <w:p w14:paraId="347F03AC" w14:textId="77777777" w:rsidR="00AD5B00" w:rsidRDefault="00AD5B00" w:rsidP="00AD5B00">
      <w:pPr>
        <w:pStyle w:val="CRCoverPage"/>
        <w:spacing w:before="120"/>
        <w:jc w:val="both"/>
        <w:rPr>
          <w:rFonts w:eastAsia="Malgun Gothic"/>
          <w:b/>
          <w:lang w:val="en-US" w:eastAsia="ko-KR"/>
        </w:rPr>
      </w:pPr>
      <w:r w:rsidRPr="009510A6">
        <w:rPr>
          <w:lang w:val="en-US"/>
        </w:rPr>
        <w:t>When BFR for SCell is detected, UE may have UL resource available for transmission, but the UL grant may not be large enough to accommodate all the BFRQ information for multiple SCells plus the MAC subheader. In this case, similar to what we already have for BSR, UE anyway can put part of BFRQ information in the small MAC PDU (i.e., truncated BFR MAC CE). In contrast, if all the BFRQ information plus the MAC subheader can be included into the MAC PDU, the non-truncated BFR MAC CE format is used.</w:t>
      </w:r>
      <w:r>
        <w:rPr>
          <w:lang w:val="en-US"/>
        </w:rPr>
        <w:t xml:space="preserve"> Only when non-truncated BFR MAC CE is transmitted, i.e. all BFRQ information is included, the pending BFR can be cancelled.</w:t>
      </w:r>
    </w:p>
    <w:p w14:paraId="07BCC02B" w14:textId="77777777" w:rsidR="00AD5B00" w:rsidRDefault="00AD5B00" w:rsidP="00AD5B00">
      <w:pPr>
        <w:rPr>
          <w:rFonts w:eastAsia="Malgun Gothic"/>
          <w:b/>
          <w:lang w:val="en-US" w:eastAsia="ko-KR"/>
        </w:rPr>
      </w:pPr>
    </w:p>
    <w:p w14:paraId="6F24ED90" w14:textId="77777777" w:rsidR="00AD5B00" w:rsidRPr="00146B99" w:rsidRDefault="00AD5B00" w:rsidP="00AD5B00">
      <w:pPr>
        <w:pStyle w:val="ListParagraph"/>
        <w:numPr>
          <w:ilvl w:val="0"/>
          <w:numId w:val="25"/>
        </w:numPr>
        <w:ind w:left="1134" w:hanging="1134"/>
        <w:rPr>
          <w:rFonts w:ascii="Arial" w:eastAsia="Malgun Gothic" w:hAnsi="Arial" w:cs="Arial"/>
          <w:b/>
          <w:lang w:val="en-US" w:eastAsia="ko-KR"/>
        </w:rPr>
      </w:pPr>
      <w:r w:rsidRPr="00146B99">
        <w:rPr>
          <w:rFonts w:ascii="Arial" w:eastAsia="Malgun Gothic" w:hAnsi="Arial" w:cs="Arial"/>
          <w:b/>
          <w:lang w:val="en-US" w:eastAsia="ko-KR"/>
        </w:rPr>
        <w:t>Both truncated and non-truncated BFR MAC CE format is supported.</w:t>
      </w:r>
    </w:p>
    <w:p w14:paraId="0AF81183" w14:textId="77777777" w:rsidR="00AD5B00" w:rsidRDefault="00AD5B00" w:rsidP="00937FDA">
      <w:pPr>
        <w:pStyle w:val="CRCoverPage"/>
        <w:spacing w:before="120"/>
        <w:jc w:val="both"/>
        <w:rPr>
          <w:b/>
          <w:lang w:val="en-US"/>
        </w:rPr>
      </w:pPr>
    </w:p>
    <w:p w14:paraId="69C48DC1" w14:textId="77777777" w:rsidR="00AD5B00" w:rsidRDefault="00AD5B00" w:rsidP="00937FDA">
      <w:pPr>
        <w:pStyle w:val="CRCoverPage"/>
        <w:spacing w:before="120"/>
        <w:jc w:val="both"/>
        <w:rPr>
          <w:b/>
          <w:lang w:val="en-US"/>
        </w:rPr>
      </w:pPr>
    </w:p>
    <w:p w14:paraId="7C9C3C1A" w14:textId="115BBCC8" w:rsidR="00982663" w:rsidRPr="00F02C0C" w:rsidRDefault="00982663" w:rsidP="00937FDA">
      <w:pPr>
        <w:pStyle w:val="CRCoverPage"/>
        <w:spacing w:before="120"/>
        <w:jc w:val="both"/>
        <w:rPr>
          <w:lang w:val="en-US"/>
        </w:rPr>
      </w:pPr>
      <w:r w:rsidRPr="00F02C0C">
        <w:rPr>
          <w:lang w:val="en-US"/>
        </w:rPr>
        <w:lastRenderedPageBreak/>
        <w:t xml:space="preserve">According to RAN1 LS, it is up to RAN2 </w:t>
      </w:r>
      <w:r w:rsidRPr="00797F1B">
        <w:rPr>
          <w:lang w:val="en-US"/>
        </w:rPr>
        <w:t>whether to transmit a MAC CE to carry BFRQ information for 1 SCell or multiple SCells</w:t>
      </w:r>
      <w:r w:rsidRPr="00F02C0C">
        <w:rPr>
          <w:lang w:val="en-US"/>
        </w:rPr>
        <w:t>. From RAN2 points of view, we think BFR is time critical and UE should report complete BFR information to the NW asap. So it is preferred that the BFR MAC CE can carry BFRQ information for multiple SCells, i.e., a flexible-size MAC CE.</w:t>
      </w:r>
    </w:p>
    <w:p w14:paraId="1AEFCD1B" w14:textId="60CB9DFA" w:rsidR="00982663" w:rsidRPr="00146B99" w:rsidRDefault="00F02C0C" w:rsidP="00146B99">
      <w:pPr>
        <w:pStyle w:val="ListParagraph"/>
        <w:numPr>
          <w:ilvl w:val="0"/>
          <w:numId w:val="25"/>
        </w:numPr>
        <w:ind w:left="1134" w:hanging="1134"/>
        <w:rPr>
          <w:rFonts w:ascii="Arial" w:eastAsia="Malgun Gothic" w:hAnsi="Arial" w:cs="Arial"/>
          <w:b/>
          <w:lang w:val="en-US" w:eastAsia="ko-KR"/>
        </w:rPr>
      </w:pPr>
      <w:r w:rsidRPr="00146B99">
        <w:rPr>
          <w:rFonts w:ascii="Arial" w:eastAsia="Malgun Gothic" w:hAnsi="Arial" w:cs="Arial"/>
          <w:b/>
          <w:lang w:val="en-US" w:eastAsia="ko-KR"/>
        </w:rPr>
        <w:t>BFR MAC CE is a flexible-size MAC CE which can carry BFRQ information for multiple SCells.</w:t>
      </w:r>
    </w:p>
    <w:p w14:paraId="22EE87DE" w14:textId="77777777" w:rsidR="00FA2FCA" w:rsidRDefault="00FA2FCA" w:rsidP="00937FDA">
      <w:pPr>
        <w:pStyle w:val="CRCoverPage"/>
        <w:spacing w:before="120"/>
        <w:jc w:val="both"/>
        <w:rPr>
          <w:b/>
          <w:lang w:val="en-US"/>
        </w:rPr>
      </w:pPr>
    </w:p>
    <w:p w14:paraId="32739025" w14:textId="76B160C1" w:rsidR="0012536C" w:rsidRPr="0012536C" w:rsidRDefault="0012536C" w:rsidP="00937FDA">
      <w:pPr>
        <w:pStyle w:val="CRCoverPage"/>
        <w:spacing w:before="120"/>
        <w:jc w:val="both"/>
        <w:rPr>
          <w:lang w:val="en-US"/>
        </w:rPr>
      </w:pPr>
      <w:r w:rsidRPr="0012536C">
        <w:rPr>
          <w:lang w:val="en-US"/>
        </w:rPr>
        <w:t>According to RAN1 agreement, for each failed servi</w:t>
      </w:r>
      <w:r w:rsidR="0037101A">
        <w:rPr>
          <w:lang w:val="en-US"/>
        </w:rPr>
        <w:t>ng cell, the content of the BFRQ</w:t>
      </w:r>
      <w:r w:rsidRPr="0012536C">
        <w:rPr>
          <w:lang w:val="en-US"/>
        </w:rPr>
        <w:t xml:space="preserve"> MAC CE should include (1) the ID of the SCell with beam failure (2) indicator </w:t>
      </w:r>
      <w:r>
        <w:rPr>
          <w:lang w:val="en-US"/>
        </w:rPr>
        <w:t>for</w:t>
      </w:r>
      <w:r w:rsidRPr="0012536C">
        <w:rPr>
          <w:lang w:val="en-US"/>
        </w:rPr>
        <w:t xml:space="preserve"> whether a new beam </w:t>
      </w:r>
      <w:r>
        <w:rPr>
          <w:lang w:val="en-US"/>
        </w:rPr>
        <w:t xml:space="preserve">above the L1-RSRP threshold </w:t>
      </w:r>
      <w:r w:rsidRPr="0012536C">
        <w:rPr>
          <w:lang w:val="en-US"/>
        </w:rPr>
        <w:t>is found/reported (3) the information of the new beam if reported.</w:t>
      </w:r>
    </w:p>
    <w:tbl>
      <w:tblPr>
        <w:tblStyle w:val="TableGrid"/>
        <w:tblW w:w="0" w:type="auto"/>
        <w:tblLook w:val="04A0" w:firstRow="1" w:lastRow="0" w:firstColumn="1" w:lastColumn="0" w:noHBand="0" w:noVBand="1"/>
      </w:tblPr>
      <w:tblGrid>
        <w:gridCol w:w="9350"/>
      </w:tblGrid>
      <w:tr w:rsidR="0012536C" w14:paraId="76390842" w14:textId="77777777" w:rsidTr="0012536C">
        <w:tc>
          <w:tcPr>
            <w:tcW w:w="9350" w:type="dxa"/>
          </w:tcPr>
          <w:p w14:paraId="04FEBE3F" w14:textId="630A7654" w:rsidR="0012536C" w:rsidRPr="005D7ED3" w:rsidRDefault="0096586A" w:rsidP="0012536C">
            <w:pPr>
              <w:rPr>
                <w:rFonts w:ascii="Times" w:eastAsia="Batang" w:hAnsi="Times" w:hint="eastAsia"/>
                <w:b/>
                <w:highlight w:val="green"/>
              </w:rPr>
            </w:pPr>
            <w:r>
              <w:rPr>
                <w:b/>
                <w:highlight w:val="green"/>
              </w:rPr>
              <w:t xml:space="preserve">(RAN1#97) </w:t>
            </w:r>
            <w:r w:rsidR="0012536C" w:rsidRPr="00EE7297">
              <w:rPr>
                <w:b/>
                <w:highlight w:val="green"/>
              </w:rPr>
              <w:t>Agreement</w:t>
            </w:r>
            <w:r w:rsidR="0012536C">
              <w:rPr>
                <w:b/>
                <w:highlight w:val="green"/>
              </w:rPr>
              <w:t xml:space="preserve"> </w:t>
            </w:r>
          </w:p>
          <w:p w14:paraId="57AF57E5" w14:textId="77777777" w:rsidR="0012536C" w:rsidRPr="0012536C" w:rsidRDefault="0012536C" w:rsidP="0012536C">
            <w:pPr>
              <w:pStyle w:val="LGTdoc"/>
              <w:numPr>
                <w:ilvl w:val="0"/>
                <w:numId w:val="23"/>
              </w:numPr>
              <w:spacing w:afterLines="0" w:line="240" w:lineRule="auto"/>
              <w:ind w:left="720" w:hanging="320"/>
              <w:contextualSpacing/>
              <w:rPr>
                <w:b/>
                <w:lang w:val="en-US"/>
              </w:rPr>
            </w:pPr>
            <w:r w:rsidRPr="000D7BF0">
              <w:rPr>
                <w:rFonts w:ascii="Times" w:hAnsi="Times" w:cs="Times"/>
                <w:sz w:val="20"/>
                <w:szCs w:val="20"/>
                <w:lang w:val="en-US"/>
              </w:rPr>
              <w:t>When SCell BFR is configured and RS for new beam identification is configured, the threshold for new beam identification should be always configured</w:t>
            </w:r>
          </w:p>
          <w:p w14:paraId="7F80408B" w14:textId="7CCBDE4E" w:rsidR="0012536C" w:rsidRDefault="0012536C" w:rsidP="0012536C">
            <w:pPr>
              <w:pStyle w:val="LGTdoc"/>
              <w:numPr>
                <w:ilvl w:val="0"/>
                <w:numId w:val="23"/>
              </w:numPr>
              <w:spacing w:afterLines="0" w:line="240" w:lineRule="auto"/>
              <w:ind w:left="720" w:hanging="320"/>
              <w:contextualSpacing/>
              <w:rPr>
                <w:b/>
                <w:lang w:val="en-US"/>
              </w:rPr>
            </w:pPr>
            <w:r w:rsidRPr="000D7BF0">
              <w:rPr>
                <w:rFonts w:ascii="Times" w:hAnsi="Times" w:cs="Times"/>
                <w:sz w:val="20"/>
                <w:szCs w:val="20"/>
                <w:lang w:val="en-US"/>
              </w:rPr>
              <w:t xml:space="preserve">If a SCell has failed, when there is no new beam with L1-RSRP higher than configured threshold for SCell BFR, for new beam information reporting, </w:t>
            </w:r>
            <w:r w:rsidRPr="0012536C">
              <w:rPr>
                <w:rFonts w:ascii="Times" w:hAnsi="Times" w:cs="Times"/>
                <w:sz w:val="20"/>
                <w:szCs w:val="20"/>
                <w:lang w:val="en-US"/>
              </w:rPr>
              <w:t>UE reports that there is no new beam identified for the SCell</w:t>
            </w:r>
          </w:p>
        </w:tc>
      </w:tr>
    </w:tbl>
    <w:p w14:paraId="057DAE9F" w14:textId="77777777" w:rsidR="0012536C" w:rsidRDefault="0012536C" w:rsidP="00937FDA">
      <w:pPr>
        <w:pStyle w:val="CRCoverPage"/>
        <w:spacing w:before="120"/>
        <w:jc w:val="both"/>
        <w:rPr>
          <w:b/>
          <w:lang w:val="en-US"/>
        </w:rPr>
      </w:pPr>
    </w:p>
    <w:tbl>
      <w:tblPr>
        <w:tblStyle w:val="TableGrid"/>
        <w:tblW w:w="0" w:type="auto"/>
        <w:tblLook w:val="04A0" w:firstRow="1" w:lastRow="0" w:firstColumn="1" w:lastColumn="0" w:noHBand="0" w:noVBand="1"/>
      </w:tblPr>
      <w:tblGrid>
        <w:gridCol w:w="9350"/>
      </w:tblGrid>
      <w:tr w:rsidR="0096586A" w14:paraId="4B2DE0FB" w14:textId="77777777" w:rsidTr="0096586A">
        <w:tc>
          <w:tcPr>
            <w:tcW w:w="9350" w:type="dxa"/>
          </w:tcPr>
          <w:p w14:paraId="3A1CE7E2" w14:textId="3124C72B" w:rsidR="0096586A" w:rsidRPr="00880BDF" w:rsidRDefault="0096586A" w:rsidP="0096586A">
            <w:pPr>
              <w:pStyle w:val="0Maintext"/>
              <w:spacing w:after="0" w:afterAutospacing="0" w:line="240" w:lineRule="auto"/>
              <w:ind w:firstLine="0"/>
              <w:rPr>
                <w:b/>
                <w:bCs/>
                <w:highlight w:val="green"/>
                <w:lang w:val="en-US"/>
              </w:rPr>
            </w:pPr>
            <w:r>
              <w:rPr>
                <w:b/>
                <w:bCs/>
                <w:highlight w:val="green"/>
                <w:lang w:val="en-US"/>
              </w:rPr>
              <w:t xml:space="preserve">(RAN1#98) </w:t>
            </w:r>
            <w:r w:rsidRPr="00880BDF">
              <w:rPr>
                <w:b/>
                <w:bCs/>
                <w:highlight w:val="green"/>
                <w:lang w:val="en-US"/>
              </w:rPr>
              <w:t>Agreement</w:t>
            </w:r>
          </w:p>
          <w:p w14:paraId="01F895C2" w14:textId="77777777" w:rsidR="0096586A" w:rsidRPr="00FF6A33" w:rsidRDefault="0096586A" w:rsidP="0096586A">
            <w:pPr>
              <w:pStyle w:val="0Maintext"/>
              <w:numPr>
                <w:ilvl w:val="0"/>
                <w:numId w:val="24"/>
              </w:numPr>
              <w:spacing w:after="0" w:afterAutospacing="0" w:line="240" w:lineRule="auto"/>
              <w:rPr>
                <w:lang w:val="en-US"/>
              </w:rPr>
            </w:pPr>
            <w:r w:rsidRPr="00FF6A33">
              <w:rPr>
                <w:lang w:val="en-US"/>
              </w:rPr>
              <w:t>For SCell BFR, support maximum number of RS for new beam identification per BWP to be 64.</w:t>
            </w:r>
          </w:p>
          <w:p w14:paraId="6622413E" w14:textId="68BE9C57" w:rsidR="0096586A" w:rsidRDefault="0096586A" w:rsidP="0096586A">
            <w:pPr>
              <w:pStyle w:val="0Maintext"/>
              <w:numPr>
                <w:ilvl w:val="0"/>
                <w:numId w:val="24"/>
              </w:numPr>
              <w:spacing w:after="0" w:afterAutospacing="0" w:line="240" w:lineRule="auto"/>
              <w:rPr>
                <w:b/>
                <w:lang w:val="en-US"/>
              </w:rPr>
            </w:pPr>
            <w:r w:rsidRPr="00FF6A33">
              <w:rPr>
                <w:lang w:val="en-US"/>
              </w:rPr>
              <w:t xml:space="preserve">The range of threshold for SCell new beam identification is based on range specified in </w:t>
            </w:r>
            <w:r w:rsidRPr="00FF6A33">
              <w:rPr>
                <w:i/>
                <w:iCs/>
                <w:lang w:val="en-US"/>
              </w:rPr>
              <w:t>RSRP-Range</w:t>
            </w:r>
            <w:r w:rsidRPr="00FF6A33">
              <w:rPr>
                <w:lang w:val="en-US"/>
              </w:rPr>
              <w:t>.</w:t>
            </w:r>
          </w:p>
        </w:tc>
      </w:tr>
    </w:tbl>
    <w:p w14:paraId="2748342A" w14:textId="77777777" w:rsidR="0096586A" w:rsidRDefault="0096586A" w:rsidP="00937FDA">
      <w:pPr>
        <w:pStyle w:val="CRCoverPage"/>
        <w:spacing w:before="120"/>
        <w:jc w:val="both"/>
        <w:rPr>
          <w:b/>
          <w:lang w:val="en-US"/>
        </w:rPr>
      </w:pPr>
    </w:p>
    <w:p w14:paraId="41A0CA80" w14:textId="6A376FED" w:rsidR="0012536C" w:rsidRPr="00DB6194" w:rsidRDefault="00DB6194" w:rsidP="00937FDA">
      <w:pPr>
        <w:pStyle w:val="CRCoverPage"/>
        <w:spacing w:before="120"/>
        <w:jc w:val="both"/>
        <w:rPr>
          <w:lang w:val="en-US"/>
        </w:rPr>
      </w:pPr>
      <w:r w:rsidRPr="00DB6194">
        <w:rPr>
          <w:lang w:val="en-US"/>
        </w:rPr>
        <w:t>Several possible MAC CE format</w:t>
      </w:r>
      <w:r w:rsidR="00CF124B">
        <w:rPr>
          <w:lang w:val="en-US"/>
        </w:rPr>
        <w:t>s</w:t>
      </w:r>
      <w:r w:rsidRPr="00DB6194">
        <w:rPr>
          <w:lang w:val="en-US"/>
        </w:rPr>
        <w:t xml:space="preserve"> can be considered below:</w:t>
      </w:r>
    </w:p>
    <w:p w14:paraId="31CF992F" w14:textId="504ADA09" w:rsidR="00DB6194" w:rsidRDefault="00DB6194" w:rsidP="00DB6194">
      <w:pPr>
        <w:pStyle w:val="CRCoverPage"/>
        <w:numPr>
          <w:ilvl w:val="0"/>
          <w:numId w:val="22"/>
        </w:numPr>
        <w:spacing w:before="120"/>
        <w:jc w:val="both"/>
        <w:rPr>
          <w:b/>
          <w:lang w:val="en-US"/>
        </w:rPr>
      </w:pPr>
      <w:r>
        <w:rPr>
          <w:b/>
          <w:lang w:val="en-US"/>
        </w:rPr>
        <w:t>Option 1: Enumerate beam failure information for each SCell with beam failure one-by-one</w:t>
      </w:r>
    </w:p>
    <w:p w14:paraId="29D1B3D9" w14:textId="1F6D175B" w:rsidR="00DB6194" w:rsidRDefault="00DB6194" w:rsidP="00DB6194">
      <w:pPr>
        <w:pStyle w:val="CRCoverPage"/>
        <w:numPr>
          <w:ilvl w:val="1"/>
          <w:numId w:val="22"/>
        </w:numPr>
        <w:spacing w:before="120"/>
        <w:jc w:val="both"/>
        <w:rPr>
          <w:lang w:val="en-US"/>
        </w:rPr>
      </w:pPr>
      <w:r w:rsidRPr="00DB6194">
        <w:rPr>
          <w:lang w:val="en-US"/>
        </w:rPr>
        <w:t xml:space="preserve">F: the field indicates whether new beam information for the serving cell </w:t>
      </w:r>
      <w:r w:rsidR="004A4555">
        <w:rPr>
          <w:lang w:val="en-US"/>
        </w:rPr>
        <w:t xml:space="preserve">identified by the Serving Cell ID </w:t>
      </w:r>
      <w:r w:rsidRPr="00DB6194">
        <w:rPr>
          <w:lang w:val="en-US"/>
        </w:rPr>
        <w:t xml:space="preserve">is provided or not. </w:t>
      </w:r>
    </w:p>
    <w:p w14:paraId="6EED759B" w14:textId="6F5A82CF" w:rsidR="00DB6194" w:rsidRPr="00F85569" w:rsidRDefault="00DB6194" w:rsidP="00DB6194">
      <w:pPr>
        <w:pStyle w:val="CRCoverPage"/>
        <w:numPr>
          <w:ilvl w:val="0"/>
          <w:numId w:val="22"/>
        </w:numPr>
        <w:spacing w:before="120"/>
        <w:jc w:val="both"/>
        <w:rPr>
          <w:b/>
          <w:lang w:val="en-US"/>
        </w:rPr>
      </w:pPr>
      <w:r w:rsidRPr="00F85569">
        <w:rPr>
          <w:b/>
          <w:lang w:val="en-US"/>
        </w:rPr>
        <w:t xml:space="preserve">Option 2: Use two bitmaps to separately indicate (1) whether a SCell has beam failure, and (2) whether </w:t>
      </w:r>
      <w:r w:rsidR="004A4555" w:rsidRPr="00F85569">
        <w:rPr>
          <w:b/>
          <w:lang w:val="en-US"/>
        </w:rPr>
        <w:t>beam information of a SCell with beam failure is provided</w:t>
      </w:r>
      <w:r w:rsidR="00F85569" w:rsidRPr="00F85569">
        <w:rPr>
          <w:b/>
          <w:lang w:val="en-US"/>
        </w:rPr>
        <w:t>.</w:t>
      </w:r>
    </w:p>
    <w:p w14:paraId="6DA94D62" w14:textId="2EF99AFF" w:rsidR="004A4555" w:rsidRPr="004A4555" w:rsidRDefault="004A4555" w:rsidP="004A4555">
      <w:pPr>
        <w:pStyle w:val="CRCoverPage"/>
        <w:numPr>
          <w:ilvl w:val="1"/>
          <w:numId w:val="22"/>
        </w:numPr>
        <w:spacing w:before="120"/>
        <w:jc w:val="both"/>
        <w:rPr>
          <w:lang w:val="en-US"/>
        </w:rPr>
      </w:pPr>
      <w:r w:rsidRPr="000B541D">
        <w:rPr>
          <w:lang w:eastAsia="ko-KR"/>
        </w:rPr>
        <w:t>C</w:t>
      </w:r>
      <w:r w:rsidRPr="000B541D">
        <w:rPr>
          <w:vertAlign w:val="subscript"/>
          <w:lang w:eastAsia="ko-KR"/>
        </w:rPr>
        <w:t>i</w:t>
      </w:r>
      <w:r w:rsidRPr="000B541D">
        <w:rPr>
          <w:lang w:eastAsia="ko-KR"/>
        </w:rPr>
        <w:t xml:space="preserve">: This field indicates </w:t>
      </w:r>
      <w:r>
        <w:rPr>
          <w:lang w:eastAsia="ko-KR"/>
        </w:rPr>
        <w:t>whether</w:t>
      </w:r>
      <w:r w:rsidRPr="000B541D">
        <w:rPr>
          <w:lang w:eastAsia="ko-KR"/>
        </w:rPr>
        <w:t xml:space="preserve"> the Serving Cell with </w:t>
      </w:r>
      <w:r w:rsidRPr="000B541D">
        <w:rPr>
          <w:i/>
          <w:lang w:eastAsia="ko-KR"/>
        </w:rPr>
        <w:t>ServCellIndex</w:t>
      </w:r>
      <w:r w:rsidRPr="000B541D">
        <w:rPr>
          <w:lang w:eastAsia="ko-KR"/>
        </w:rPr>
        <w:t xml:space="preserve"> i </w:t>
      </w:r>
      <w:r>
        <w:rPr>
          <w:lang w:eastAsia="ko-KR"/>
        </w:rPr>
        <w:t>has beam failure or not</w:t>
      </w:r>
      <w:r w:rsidRPr="000B541D">
        <w:rPr>
          <w:lang w:eastAsia="ko-KR"/>
        </w:rPr>
        <w:t xml:space="preserve">. </w:t>
      </w:r>
    </w:p>
    <w:p w14:paraId="43C50C62" w14:textId="6374118F" w:rsidR="004A4555" w:rsidRPr="00DB6194" w:rsidRDefault="004A4555" w:rsidP="004A4555">
      <w:pPr>
        <w:pStyle w:val="CRCoverPage"/>
        <w:numPr>
          <w:ilvl w:val="1"/>
          <w:numId w:val="22"/>
        </w:numPr>
        <w:spacing w:before="120"/>
        <w:jc w:val="both"/>
        <w:rPr>
          <w:lang w:val="en-US"/>
        </w:rPr>
      </w:pPr>
      <w:r>
        <w:rPr>
          <w:lang w:eastAsia="ko-KR"/>
        </w:rPr>
        <w:t>F</w:t>
      </w:r>
      <w:r w:rsidRPr="000B541D">
        <w:rPr>
          <w:vertAlign w:val="subscript"/>
          <w:lang w:eastAsia="ko-KR"/>
        </w:rPr>
        <w:t>i</w:t>
      </w:r>
      <w:r w:rsidRPr="000B541D">
        <w:rPr>
          <w:lang w:eastAsia="ko-KR"/>
        </w:rPr>
        <w:t xml:space="preserve">: This field indicates </w:t>
      </w:r>
      <w:r>
        <w:rPr>
          <w:lang w:eastAsia="ko-KR"/>
        </w:rPr>
        <w:t>whether</w:t>
      </w:r>
      <w:r w:rsidRPr="000B541D">
        <w:rPr>
          <w:lang w:eastAsia="ko-KR"/>
        </w:rPr>
        <w:t xml:space="preserve"> the </w:t>
      </w:r>
      <w:r>
        <w:rPr>
          <w:lang w:eastAsia="ko-KR"/>
        </w:rPr>
        <w:t xml:space="preserve">new beam information for the </w:t>
      </w:r>
      <w:r w:rsidRPr="000B541D">
        <w:rPr>
          <w:lang w:eastAsia="ko-KR"/>
        </w:rPr>
        <w:t xml:space="preserve">Serving Cell with </w:t>
      </w:r>
      <w:r w:rsidRPr="000B541D">
        <w:rPr>
          <w:i/>
          <w:lang w:eastAsia="ko-KR"/>
        </w:rPr>
        <w:t>ServCellIndex</w:t>
      </w:r>
      <w:r w:rsidRPr="000B541D">
        <w:rPr>
          <w:lang w:eastAsia="ko-KR"/>
        </w:rPr>
        <w:t xml:space="preserve"> i </w:t>
      </w:r>
      <w:r>
        <w:rPr>
          <w:lang w:eastAsia="ko-KR"/>
        </w:rPr>
        <w:t>is provided or not</w:t>
      </w:r>
      <w:r w:rsidRPr="000B541D">
        <w:rPr>
          <w:lang w:eastAsia="ko-KR"/>
        </w:rPr>
        <w:t xml:space="preserve">. </w:t>
      </w:r>
      <w:r w:rsidR="008A348D">
        <w:rPr>
          <w:lang w:eastAsia="ko-KR"/>
        </w:rPr>
        <w:t>Obviously, F</w:t>
      </w:r>
      <w:r w:rsidR="008A348D" w:rsidRPr="000B541D">
        <w:rPr>
          <w:vertAlign w:val="subscript"/>
          <w:lang w:eastAsia="ko-KR"/>
        </w:rPr>
        <w:t>i</w:t>
      </w:r>
      <w:r w:rsidR="008A348D">
        <w:rPr>
          <w:vertAlign w:val="subscript"/>
          <w:lang w:eastAsia="ko-KR"/>
        </w:rPr>
        <w:t xml:space="preserve"> </w:t>
      </w:r>
      <w:r w:rsidR="008A348D" w:rsidRPr="008A348D">
        <w:rPr>
          <w:lang w:eastAsia="ko-KR"/>
        </w:rPr>
        <w:t>is 1 only when</w:t>
      </w:r>
      <w:r w:rsidR="008A348D">
        <w:rPr>
          <w:lang w:eastAsia="ko-KR"/>
        </w:rPr>
        <w:t xml:space="preserve"> </w:t>
      </w:r>
      <w:r w:rsidR="008A348D">
        <w:rPr>
          <w:vertAlign w:val="subscript"/>
          <w:lang w:eastAsia="ko-KR"/>
        </w:rPr>
        <w:t xml:space="preserve"> </w:t>
      </w:r>
      <w:r w:rsidR="008A348D" w:rsidRPr="000B541D">
        <w:rPr>
          <w:lang w:eastAsia="ko-KR"/>
        </w:rPr>
        <w:t>C</w:t>
      </w:r>
      <w:r w:rsidR="008A348D" w:rsidRPr="000B541D">
        <w:rPr>
          <w:vertAlign w:val="subscript"/>
          <w:lang w:eastAsia="ko-KR"/>
        </w:rPr>
        <w:t>i</w:t>
      </w:r>
      <w:r w:rsidR="008A348D">
        <w:rPr>
          <w:vertAlign w:val="subscript"/>
          <w:lang w:eastAsia="ko-KR"/>
        </w:rPr>
        <w:t xml:space="preserve">  </w:t>
      </w:r>
      <w:r w:rsidR="008A348D" w:rsidRPr="008A348D">
        <w:rPr>
          <w:lang w:eastAsia="ko-KR"/>
        </w:rPr>
        <w:t>is 1</w:t>
      </w:r>
      <w:r w:rsidR="008A348D">
        <w:rPr>
          <w:lang w:eastAsia="ko-KR"/>
        </w:rPr>
        <w:t>.</w:t>
      </w:r>
    </w:p>
    <w:p w14:paraId="66BB8AB4" w14:textId="2096997C" w:rsidR="004A4555" w:rsidRPr="00F85569" w:rsidRDefault="008A348D" w:rsidP="004A4555">
      <w:pPr>
        <w:pStyle w:val="CRCoverPage"/>
        <w:numPr>
          <w:ilvl w:val="1"/>
          <w:numId w:val="22"/>
        </w:numPr>
        <w:spacing w:before="120"/>
        <w:jc w:val="both"/>
        <w:rPr>
          <w:lang w:val="en-US"/>
        </w:rPr>
      </w:pPr>
      <w:r>
        <w:rPr>
          <w:lang w:val="en-US"/>
        </w:rPr>
        <w:t xml:space="preserve">The number of bytes for </w:t>
      </w:r>
      <w:r w:rsidRPr="000B541D">
        <w:rPr>
          <w:lang w:eastAsia="ko-KR"/>
        </w:rPr>
        <w:t>C</w:t>
      </w:r>
      <w:r w:rsidRPr="000B541D">
        <w:rPr>
          <w:vertAlign w:val="subscript"/>
          <w:lang w:eastAsia="ko-KR"/>
        </w:rPr>
        <w:t>i</w:t>
      </w:r>
      <w:r>
        <w:rPr>
          <w:vertAlign w:val="subscript"/>
          <w:lang w:eastAsia="ko-KR"/>
        </w:rPr>
        <w:t xml:space="preserve"> </w:t>
      </w:r>
      <w:r w:rsidRPr="008A348D">
        <w:rPr>
          <w:lang w:val="en-US"/>
        </w:rPr>
        <w:t>and</w:t>
      </w:r>
      <w:r>
        <w:rPr>
          <w:vertAlign w:val="subscript"/>
          <w:lang w:eastAsia="ko-KR"/>
        </w:rPr>
        <w:t xml:space="preserve"> </w:t>
      </w:r>
      <w:r>
        <w:rPr>
          <w:lang w:eastAsia="ko-KR"/>
        </w:rPr>
        <w:t>F</w:t>
      </w:r>
      <w:r w:rsidRPr="000B541D">
        <w:rPr>
          <w:vertAlign w:val="subscript"/>
          <w:lang w:eastAsia="ko-KR"/>
        </w:rPr>
        <w:t>i</w:t>
      </w:r>
      <w:r>
        <w:rPr>
          <w:vertAlign w:val="subscript"/>
          <w:lang w:eastAsia="ko-KR"/>
        </w:rPr>
        <w:t xml:space="preserve"> </w:t>
      </w:r>
      <w:r w:rsidRPr="008A348D">
        <w:rPr>
          <w:lang w:eastAsia="ko-KR"/>
        </w:rPr>
        <w:t>is FFS</w:t>
      </w:r>
      <w:r>
        <w:rPr>
          <w:lang w:eastAsia="ko-KR"/>
        </w:rPr>
        <w:t xml:space="preserve">. For example, in PHR format, if the </w:t>
      </w:r>
      <w:r w:rsidRPr="000B541D">
        <w:rPr>
          <w:noProof/>
        </w:rPr>
        <w:t>the hig</w:t>
      </w:r>
      <w:r w:rsidRPr="000B541D">
        <w:rPr>
          <w:noProof/>
          <w:lang w:eastAsia="ko-KR"/>
        </w:rPr>
        <w:t>h</w:t>
      </w:r>
      <w:r w:rsidRPr="000B541D">
        <w:rPr>
          <w:noProof/>
        </w:rPr>
        <w:t xml:space="preserve">est </w:t>
      </w:r>
      <w:r w:rsidRPr="000B541D">
        <w:rPr>
          <w:i/>
          <w:noProof/>
        </w:rPr>
        <w:t>S</w:t>
      </w:r>
      <w:r w:rsidRPr="000B541D">
        <w:rPr>
          <w:i/>
          <w:noProof/>
          <w:lang w:eastAsia="ko-KR"/>
        </w:rPr>
        <w:t>erv</w:t>
      </w:r>
      <w:r w:rsidRPr="000B541D">
        <w:rPr>
          <w:i/>
          <w:noProof/>
        </w:rPr>
        <w:t>CellIndex</w:t>
      </w:r>
      <w:r w:rsidRPr="000B541D">
        <w:rPr>
          <w:noProof/>
        </w:rPr>
        <w:t xml:space="preserve"> of Serving Cell</w:t>
      </w:r>
      <w:r>
        <w:rPr>
          <w:noProof/>
        </w:rPr>
        <w:t xml:space="preserve"> with configured uplink is less than 8, then 1-byte bitmap is sufficient.</w:t>
      </w:r>
    </w:p>
    <w:p w14:paraId="7E592D57" w14:textId="79B37C6B" w:rsidR="00F85569" w:rsidRPr="00B67552" w:rsidRDefault="00F85569" w:rsidP="00F85569">
      <w:pPr>
        <w:pStyle w:val="CRCoverPage"/>
        <w:numPr>
          <w:ilvl w:val="0"/>
          <w:numId w:val="22"/>
        </w:numPr>
        <w:spacing w:before="120"/>
        <w:jc w:val="both"/>
        <w:rPr>
          <w:b/>
          <w:lang w:val="en-US"/>
        </w:rPr>
      </w:pPr>
      <w:r w:rsidRPr="00B67552">
        <w:rPr>
          <w:b/>
          <w:noProof/>
        </w:rPr>
        <w:t>Option 3: Use separate RNTI or flag in header</w:t>
      </w:r>
      <w:r w:rsidR="00F84172">
        <w:rPr>
          <w:b/>
          <w:noProof/>
        </w:rPr>
        <w:t xml:space="preserve"> or payload</w:t>
      </w:r>
      <w:r w:rsidRPr="00B67552">
        <w:rPr>
          <w:b/>
          <w:noProof/>
        </w:rPr>
        <w:t xml:space="preserve"> to </w:t>
      </w:r>
      <w:r w:rsidR="00585DBC" w:rsidRPr="00B67552">
        <w:rPr>
          <w:b/>
          <w:noProof/>
        </w:rPr>
        <w:t>separately indicate failed serving cell w/ new beam information and failed serving cell w/o new beam information.</w:t>
      </w:r>
    </w:p>
    <w:p w14:paraId="75B9172B" w14:textId="31EC0179" w:rsidR="00F84172" w:rsidRPr="00F84172" w:rsidRDefault="00F84172" w:rsidP="00276955">
      <w:pPr>
        <w:pStyle w:val="CRCoverPage"/>
        <w:numPr>
          <w:ilvl w:val="1"/>
          <w:numId w:val="22"/>
        </w:numPr>
        <w:spacing w:before="120"/>
        <w:jc w:val="both"/>
        <w:rPr>
          <w:lang w:val="en-US"/>
        </w:rPr>
      </w:pPr>
      <w:r>
        <w:rPr>
          <w:lang w:val="en-US"/>
        </w:rPr>
        <w:t>R: reserved bit, set to 0. Or it could be considered as a flag, e.g., if set to 1, the MAC CE indicates failed serving cell along with qualified new beam; if set to 0, the MAC CE indicates failed serving cell without qualified new beam provided.</w:t>
      </w:r>
    </w:p>
    <w:p w14:paraId="452845B8" w14:textId="77777777" w:rsidR="00276955" w:rsidRPr="004A4555" w:rsidRDefault="00276955" w:rsidP="00276955">
      <w:pPr>
        <w:pStyle w:val="CRCoverPage"/>
        <w:numPr>
          <w:ilvl w:val="1"/>
          <w:numId w:val="22"/>
        </w:numPr>
        <w:spacing w:before="120"/>
        <w:jc w:val="both"/>
        <w:rPr>
          <w:lang w:val="en-US"/>
        </w:rPr>
      </w:pPr>
      <w:r w:rsidRPr="000B541D">
        <w:rPr>
          <w:lang w:eastAsia="ko-KR"/>
        </w:rPr>
        <w:t>C</w:t>
      </w:r>
      <w:r w:rsidRPr="000B541D">
        <w:rPr>
          <w:vertAlign w:val="subscript"/>
          <w:lang w:eastAsia="ko-KR"/>
        </w:rPr>
        <w:t>i</w:t>
      </w:r>
      <w:r w:rsidRPr="000B541D">
        <w:rPr>
          <w:lang w:eastAsia="ko-KR"/>
        </w:rPr>
        <w:t xml:space="preserve">: This field indicates </w:t>
      </w:r>
      <w:r>
        <w:rPr>
          <w:lang w:eastAsia="ko-KR"/>
        </w:rPr>
        <w:t>whether</w:t>
      </w:r>
      <w:r w:rsidRPr="000B541D">
        <w:rPr>
          <w:lang w:eastAsia="ko-KR"/>
        </w:rPr>
        <w:t xml:space="preserve"> the Serving Cell with </w:t>
      </w:r>
      <w:r w:rsidRPr="000B541D">
        <w:rPr>
          <w:i/>
          <w:lang w:eastAsia="ko-KR"/>
        </w:rPr>
        <w:t>ServCellIndex</w:t>
      </w:r>
      <w:r w:rsidRPr="000B541D">
        <w:rPr>
          <w:lang w:eastAsia="ko-KR"/>
        </w:rPr>
        <w:t xml:space="preserve"> i </w:t>
      </w:r>
      <w:r>
        <w:rPr>
          <w:lang w:eastAsia="ko-KR"/>
        </w:rPr>
        <w:t>has beam failure or not</w:t>
      </w:r>
      <w:r w:rsidRPr="000B541D">
        <w:rPr>
          <w:lang w:eastAsia="ko-KR"/>
        </w:rPr>
        <w:t xml:space="preserve">. </w:t>
      </w:r>
    </w:p>
    <w:p w14:paraId="25CB8151" w14:textId="2005B69E" w:rsidR="00B67552" w:rsidRPr="00837765" w:rsidRDefault="00276955" w:rsidP="00B67552">
      <w:pPr>
        <w:pStyle w:val="CRCoverPage"/>
        <w:numPr>
          <w:ilvl w:val="1"/>
          <w:numId w:val="22"/>
        </w:numPr>
        <w:spacing w:before="120"/>
        <w:jc w:val="both"/>
        <w:rPr>
          <w:lang w:val="en-US"/>
        </w:rPr>
      </w:pPr>
      <w:r w:rsidRPr="00837765">
        <w:rPr>
          <w:lang w:val="en-US"/>
        </w:rPr>
        <w:t xml:space="preserve">If the MAC CE is indicated as including new beam information, after the </w:t>
      </w:r>
      <w:r w:rsidRPr="00837765">
        <w:rPr>
          <w:lang w:eastAsia="ko-KR"/>
        </w:rPr>
        <w:t>C</w:t>
      </w:r>
      <w:r w:rsidRPr="00837765">
        <w:rPr>
          <w:vertAlign w:val="subscript"/>
          <w:lang w:eastAsia="ko-KR"/>
        </w:rPr>
        <w:t xml:space="preserve">i </w:t>
      </w:r>
      <w:r w:rsidRPr="00837765">
        <w:rPr>
          <w:lang w:val="en-US"/>
        </w:rPr>
        <w:t xml:space="preserve">field the new beam information is provided in order corresponding to serving cell with </w:t>
      </w:r>
      <w:r w:rsidRPr="00837765">
        <w:rPr>
          <w:lang w:eastAsia="ko-KR"/>
        </w:rPr>
        <w:t>C</w:t>
      </w:r>
      <w:r w:rsidRPr="00837765">
        <w:rPr>
          <w:vertAlign w:val="subscript"/>
          <w:lang w:eastAsia="ko-KR"/>
        </w:rPr>
        <w:t xml:space="preserve">i </w:t>
      </w:r>
      <w:r w:rsidRPr="00837765">
        <w:rPr>
          <w:lang w:val="en-US"/>
        </w:rPr>
        <w:t>set to 1.</w:t>
      </w:r>
    </w:p>
    <w:p w14:paraId="1EA33A1F" w14:textId="166D9870" w:rsidR="0012536C" w:rsidRDefault="0012536C" w:rsidP="00937FDA">
      <w:pPr>
        <w:pStyle w:val="CRCoverPage"/>
        <w:spacing w:before="120"/>
        <w:jc w:val="both"/>
        <w:rPr>
          <w:b/>
          <w:lang w:val="en-US"/>
        </w:rPr>
      </w:pPr>
      <w:r>
        <w:rPr>
          <w:b/>
          <w:lang w:val="en-US"/>
        </w:rPr>
        <w:t xml:space="preserve"> </w:t>
      </w:r>
    </w:p>
    <w:p w14:paraId="74A6B7F3" w14:textId="77777777" w:rsidR="0086788C" w:rsidRDefault="0086788C" w:rsidP="00937FDA">
      <w:pPr>
        <w:pStyle w:val="CRCoverPage"/>
        <w:spacing w:before="120"/>
        <w:jc w:val="both"/>
        <w:rPr>
          <w:b/>
          <w:lang w:val="en-US"/>
        </w:rPr>
      </w:pPr>
    </w:p>
    <w:p w14:paraId="3AEBD2E6" w14:textId="2F9FE94A" w:rsidR="0086788C" w:rsidRDefault="00837765" w:rsidP="00B67552">
      <w:pPr>
        <w:pStyle w:val="CRCoverPage"/>
        <w:spacing w:before="120"/>
        <w:jc w:val="center"/>
        <w:rPr>
          <w:b/>
          <w:lang w:val="en-US"/>
        </w:rPr>
      </w:pPr>
      <w:r>
        <w:rPr>
          <w:b/>
          <w:lang w:val="en-US"/>
        </w:rPr>
        <w:object w:dxaOrig="11790" w:dyaOrig="5399" w14:anchorId="7A5B6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2.2pt" o:ole="">
            <v:imagedata r:id="rId8" o:title=""/>
          </v:shape>
          <o:OLEObject Type="Embed" ProgID="Visio.Drawing.11" ShapeID="_x0000_i1025" DrawAspect="Content" ObjectID="_1631695396" r:id="rId9"/>
        </w:object>
      </w:r>
    </w:p>
    <w:p w14:paraId="1677DC44" w14:textId="469799EB" w:rsidR="00DF69F0" w:rsidRDefault="00DF69F0" w:rsidP="00B67552">
      <w:pPr>
        <w:pStyle w:val="CRCoverPage"/>
        <w:spacing w:before="120"/>
        <w:jc w:val="center"/>
        <w:rPr>
          <w:b/>
          <w:lang w:val="en-US"/>
        </w:rPr>
      </w:pPr>
      <w:r>
        <w:rPr>
          <w:b/>
          <w:lang w:val="en-US"/>
        </w:rPr>
        <w:t xml:space="preserve">Figure </w:t>
      </w:r>
      <w:r w:rsidR="00B67552">
        <w:rPr>
          <w:b/>
          <w:lang w:val="en-US"/>
        </w:rPr>
        <w:t>2-1</w:t>
      </w:r>
      <w:r>
        <w:rPr>
          <w:b/>
          <w:lang w:val="en-US"/>
        </w:rPr>
        <w:t xml:space="preserve">: </w:t>
      </w:r>
      <w:r w:rsidR="00B67552">
        <w:rPr>
          <w:b/>
          <w:lang w:val="en-US"/>
        </w:rPr>
        <w:t>Example of MAC CE format option 1</w:t>
      </w:r>
    </w:p>
    <w:p w14:paraId="190C0074" w14:textId="7E3F8F30" w:rsidR="003543BD" w:rsidRDefault="00837765" w:rsidP="00B67552">
      <w:pPr>
        <w:pStyle w:val="CRCoverPage"/>
        <w:spacing w:before="120"/>
        <w:jc w:val="center"/>
        <w:rPr>
          <w:b/>
          <w:lang w:val="en-US"/>
        </w:rPr>
      </w:pPr>
      <w:r>
        <w:rPr>
          <w:b/>
          <w:lang w:val="en-US"/>
        </w:rPr>
        <w:object w:dxaOrig="11961" w:dyaOrig="8842" w14:anchorId="4B9F5AD2">
          <v:shape id="_x0000_i1026" type="#_x0000_t75" style="width:282.65pt;height:209.55pt" o:ole="">
            <v:imagedata r:id="rId10" o:title=""/>
          </v:shape>
          <o:OLEObject Type="Embed" ProgID="Visio.Drawing.11" ShapeID="_x0000_i1026" DrawAspect="Content" ObjectID="_1631695397" r:id="rId11"/>
        </w:object>
      </w:r>
    </w:p>
    <w:p w14:paraId="283C21AB" w14:textId="451416D0" w:rsidR="00B67552" w:rsidRDefault="003543BD" w:rsidP="00B67552">
      <w:pPr>
        <w:pStyle w:val="CRCoverPage"/>
        <w:spacing w:before="120"/>
        <w:jc w:val="center"/>
        <w:rPr>
          <w:b/>
          <w:lang w:val="en-US"/>
        </w:rPr>
      </w:pPr>
      <w:r>
        <w:rPr>
          <w:b/>
          <w:lang w:val="en-US"/>
        </w:rPr>
        <w:t xml:space="preserve">Figure </w:t>
      </w:r>
      <w:r w:rsidR="00B67552">
        <w:rPr>
          <w:b/>
          <w:lang w:val="en-US"/>
        </w:rPr>
        <w:t>2-2</w:t>
      </w:r>
      <w:r>
        <w:rPr>
          <w:b/>
          <w:lang w:val="en-US"/>
        </w:rPr>
        <w:t xml:space="preserve">: </w:t>
      </w:r>
      <w:r w:rsidR="00B67552">
        <w:rPr>
          <w:b/>
          <w:lang w:val="en-US"/>
        </w:rPr>
        <w:t>Example of MAC CE format option 2</w:t>
      </w:r>
    </w:p>
    <w:p w14:paraId="40550776" w14:textId="67865A1E" w:rsidR="003543BD" w:rsidRDefault="003543BD" w:rsidP="003543BD">
      <w:pPr>
        <w:pStyle w:val="CRCoverPage"/>
        <w:spacing w:before="120"/>
        <w:jc w:val="both"/>
        <w:rPr>
          <w:b/>
          <w:lang w:val="en-US"/>
        </w:rPr>
      </w:pPr>
    </w:p>
    <w:p w14:paraId="5B9FD226" w14:textId="77777777" w:rsidR="003543BD" w:rsidRDefault="003543BD" w:rsidP="00937FDA">
      <w:pPr>
        <w:pStyle w:val="CRCoverPage"/>
        <w:spacing w:before="120"/>
        <w:jc w:val="both"/>
        <w:rPr>
          <w:b/>
          <w:lang w:val="en-US"/>
        </w:rPr>
      </w:pPr>
    </w:p>
    <w:p w14:paraId="1318B285" w14:textId="6385220D" w:rsidR="00DB6194" w:rsidRDefault="00DB6194" w:rsidP="00937FDA">
      <w:pPr>
        <w:pStyle w:val="CRCoverPage"/>
        <w:spacing w:before="120"/>
        <w:jc w:val="both"/>
        <w:rPr>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3"/>
        <w:gridCol w:w="4917"/>
      </w:tblGrid>
      <w:tr w:rsidR="00B67552" w14:paraId="2C28126F" w14:textId="77777777" w:rsidTr="00837765">
        <w:tc>
          <w:tcPr>
            <w:tcW w:w="4433" w:type="dxa"/>
          </w:tcPr>
          <w:p w14:paraId="1FD857A5" w14:textId="69CC1CD1" w:rsidR="00B67552" w:rsidRDefault="00B67552" w:rsidP="00937FDA">
            <w:pPr>
              <w:pStyle w:val="CRCoverPage"/>
              <w:spacing w:before="120"/>
              <w:jc w:val="both"/>
              <w:rPr>
                <w:b/>
                <w:lang w:val="en-US"/>
              </w:rPr>
            </w:pPr>
            <w:r>
              <w:rPr>
                <w:b/>
                <w:lang w:val="en-US"/>
              </w:rPr>
              <w:object w:dxaOrig="11394" w:dyaOrig="3132" w14:anchorId="1A773229">
                <v:shape id="_x0000_i1027" type="#_x0000_t75" style="width:183.75pt;height:50.5pt" o:ole="">
                  <v:imagedata r:id="rId12" o:title=""/>
                </v:shape>
                <o:OLEObject Type="Embed" ProgID="Visio.Drawing.11" ShapeID="_x0000_i1027" DrawAspect="Content" ObjectID="_1631695398" r:id="rId13"/>
              </w:object>
            </w:r>
          </w:p>
        </w:tc>
        <w:tc>
          <w:tcPr>
            <w:tcW w:w="4917" w:type="dxa"/>
          </w:tcPr>
          <w:p w14:paraId="49A7244A" w14:textId="728DD8E1" w:rsidR="00B67552" w:rsidRDefault="00B67552" w:rsidP="00937FDA">
            <w:pPr>
              <w:pStyle w:val="CRCoverPage"/>
              <w:spacing w:before="120"/>
              <w:jc w:val="both"/>
              <w:rPr>
                <w:b/>
                <w:lang w:val="en-US"/>
              </w:rPr>
            </w:pPr>
            <w:r>
              <w:rPr>
                <w:b/>
                <w:lang w:val="en-US"/>
              </w:rPr>
              <w:object w:dxaOrig="11961" w:dyaOrig="6631" w14:anchorId="057848CF">
                <v:shape id="_x0000_i1028" type="#_x0000_t75" style="width:234.8pt;height:130.55pt" o:ole="">
                  <v:imagedata r:id="rId14" o:title=""/>
                </v:shape>
                <o:OLEObject Type="Embed" ProgID="Visio.Drawing.11" ShapeID="_x0000_i1028" DrawAspect="Content" ObjectID="_1631695399" r:id="rId15"/>
              </w:object>
            </w:r>
          </w:p>
        </w:tc>
      </w:tr>
      <w:tr w:rsidR="00B67552" w14:paraId="62AE3051" w14:textId="77777777" w:rsidTr="00837765">
        <w:tc>
          <w:tcPr>
            <w:tcW w:w="4433" w:type="dxa"/>
          </w:tcPr>
          <w:p w14:paraId="18580737" w14:textId="4A412092" w:rsidR="00B67552" w:rsidRDefault="00B67552" w:rsidP="00B67552">
            <w:pPr>
              <w:pStyle w:val="CRCoverPage"/>
              <w:spacing w:before="120"/>
              <w:jc w:val="both"/>
              <w:rPr>
                <w:b/>
                <w:lang w:val="en-US"/>
              </w:rPr>
            </w:pPr>
            <w:r>
              <w:rPr>
                <w:b/>
                <w:lang w:val="en-US"/>
              </w:rPr>
              <w:t>Figure 2-3(a): The format Indicating Serving cell w/o beam information</w:t>
            </w:r>
          </w:p>
        </w:tc>
        <w:tc>
          <w:tcPr>
            <w:tcW w:w="4917" w:type="dxa"/>
          </w:tcPr>
          <w:p w14:paraId="04198920" w14:textId="18DF07B7" w:rsidR="00B67552" w:rsidRDefault="00B67552" w:rsidP="00B67552">
            <w:pPr>
              <w:pStyle w:val="CRCoverPage"/>
              <w:spacing w:before="120"/>
              <w:jc w:val="both"/>
              <w:rPr>
                <w:b/>
                <w:lang w:val="en-US"/>
              </w:rPr>
            </w:pPr>
            <w:r>
              <w:rPr>
                <w:b/>
                <w:lang w:val="en-US"/>
              </w:rPr>
              <w:t>Figure 2-3(b): The format indicating Serving cell w/ beam information</w:t>
            </w:r>
          </w:p>
        </w:tc>
      </w:tr>
      <w:tr w:rsidR="00B67552" w14:paraId="5B842A94" w14:textId="77777777" w:rsidTr="00837765">
        <w:tc>
          <w:tcPr>
            <w:tcW w:w="9350" w:type="dxa"/>
            <w:gridSpan w:val="2"/>
          </w:tcPr>
          <w:p w14:paraId="11B80428" w14:textId="6F3312FB" w:rsidR="00B67552" w:rsidRDefault="00B67552" w:rsidP="00B67552">
            <w:pPr>
              <w:pStyle w:val="CRCoverPage"/>
              <w:spacing w:before="120"/>
              <w:jc w:val="center"/>
              <w:rPr>
                <w:b/>
                <w:lang w:val="en-US"/>
              </w:rPr>
            </w:pPr>
            <w:r>
              <w:rPr>
                <w:b/>
                <w:lang w:val="en-US"/>
              </w:rPr>
              <w:t>Figure 2-3: Example of MAC CE format option 3</w:t>
            </w:r>
          </w:p>
        </w:tc>
      </w:tr>
    </w:tbl>
    <w:p w14:paraId="35855BE7" w14:textId="77777777" w:rsidR="00DB6194" w:rsidRDefault="00DB6194" w:rsidP="00937FDA">
      <w:pPr>
        <w:pStyle w:val="CRCoverPage"/>
        <w:spacing w:before="120"/>
        <w:jc w:val="both"/>
        <w:rPr>
          <w:b/>
          <w:lang w:val="en-US"/>
        </w:rPr>
      </w:pPr>
    </w:p>
    <w:p w14:paraId="6947B191" w14:textId="7E785B4E" w:rsidR="009510A6" w:rsidRPr="00146B99" w:rsidRDefault="009510A6" w:rsidP="00146B99">
      <w:pPr>
        <w:pStyle w:val="ListParagraph"/>
        <w:numPr>
          <w:ilvl w:val="0"/>
          <w:numId w:val="25"/>
        </w:numPr>
        <w:ind w:left="1134" w:hanging="1134"/>
        <w:rPr>
          <w:rFonts w:ascii="Arial" w:eastAsia="Malgun Gothic" w:hAnsi="Arial" w:cs="Arial"/>
          <w:b/>
          <w:lang w:val="en-US" w:eastAsia="ko-KR"/>
        </w:rPr>
      </w:pPr>
      <w:r w:rsidRPr="00146B99">
        <w:rPr>
          <w:rFonts w:ascii="Arial" w:eastAsia="Malgun Gothic" w:hAnsi="Arial" w:cs="Arial"/>
          <w:b/>
          <w:lang w:val="en-US" w:eastAsia="ko-KR"/>
        </w:rPr>
        <w:t xml:space="preserve">RAN2 </w:t>
      </w:r>
      <w:r w:rsidR="00C14DF6" w:rsidRPr="00146B99">
        <w:rPr>
          <w:rFonts w:ascii="Arial" w:eastAsia="Malgun Gothic" w:hAnsi="Arial" w:cs="Arial"/>
          <w:b/>
          <w:lang w:val="en-US" w:eastAsia="ko-KR"/>
        </w:rPr>
        <w:t>consider the proposed</w:t>
      </w:r>
      <w:r w:rsidRPr="00146B99">
        <w:rPr>
          <w:rFonts w:ascii="Arial" w:eastAsia="Malgun Gothic" w:hAnsi="Arial" w:cs="Arial"/>
          <w:b/>
          <w:lang w:val="en-US" w:eastAsia="ko-KR"/>
        </w:rPr>
        <w:t xml:space="preserve"> </w:t>
      </w:r>
      <w:r w:rsidR="00C14DF6" w:rsidRPr="00146B99">
        <w:rPr>
          <w:rFonts w:ascii="Arial" w:eastAsia="Malgun Gothic" w:hAnsi="Arial" w:cs="Arial"/>
          <w:b/>
          <w:lang w:val="en-US" w:eastAsia="ko-KR"/>
        </w:rPr>
        <w:t xml:space="preserve">options for </w:t>
      </w:r>
      <w:r w:rsidRPr="00146B99">
        <w:rPr>
          <w:rFonts w:ascii="Arial" w:eastAsia="Malgun Gothic" w:hAnsi="Arial" w:cs="Arial"/>
          <w:b/>
          <w:lang w:val="en-US" w:eastAsia="ko-KR"/>
        </w:rPr>
        <w:t>BFR</w:t>
      </w:r>
      <w:r w:rsidR="00C14DF6" w:rsidRPr="00146B99">
        <w:rPr>
          <w:rFonts w:ascii="Arial" w:eastAsia="Malgun Gothic" w:hAnsi="Arial" w:cs="Arial"/>
          <w:b/>
          <w:lang w:val="en-US" w:eastAsia="ko-KR"/>
        </w:rPr>
        <w:t>Q</w:t>
      </w:r>
      <w:r w:rsidRPr="00146B99">
        <w:rPr>
          <w:rFonts w:ascii="Arial" w:eastAsia="Malgun Gothic" w:hAnsi="Arial" w:cs="Arial"/>
          <w:b/>
          <w:lang w:val="en-US" w:eastAsia="ko-KR"/>
        </w:rPr>
        <w:t xml:space="preserve"> MAC CE format </w:t>
      </w:r>
      <w:r w:rsidR="00C14DF6" w:rsidRPr="00146B99">
        <w:rPr>
          <w:rFonts w:ascii="Arial" w:eastAsia="Malgun Gothic" w:hAnsi="Arial" w:cs="Arial"/>
          <w:b/>
          <w:lang w:val="en-US" w:eastAsia="ko-KR"/>
        </w:rPr>
        <w:t>(</w:t>
      </w:r>
      <w:r w:rsidRPr="00146B99">
        <w:rPr>
          <w:rFonts w:ascii="Arial" w:eastAsia="Malgun Gothic" w:hAnsi="Arial" w:cs="Arial"/>
          <w:b/>
          <w:lang w:val="en-US" w:eastAsia="ko-KR"/>
        </w:rPr>
        <w:t xml:space="preserve">Figure </w:t>
      </w:r>
      <w:r w:rsidR="00C14DF6" w:rsidRPr="00146B99">
        <w:rPr>
          <w:rFonts w:ascii="Arial" w:eastAsia="Malgun Gothic" w:hAnsi="Arial" w:cs="Arial"/>
          <w:b/>
          <w:lang w:val="en-US" w:eastAsia="ko-KR"/>
        </w:rPr>
        <w:t>2-1 to 2-3)</w:t>
      </w:r>
      <w:r w:rsidRPr="00146B99">
        <w:rPr>
          <w:rFonts w:ascii="Arial" w:eastAsia="Malgun Gothic" w:hAnsi="Arial" w:cs="Arial"/>
          <w:b/>
          <w:lang w:val="en-US" w:eastAsia="ko-KR"/>
        </w:rPr>
        <w:t>.</w:t>
      </w:r>
    </w:p>
    <w:p w14:paraId="665CC4ED" w14:textId="77777777" w:rsidR="009510A6" w:rsidRDefault="009510A6" w:rsidP="00937FDA">
      <w:pPr>
        <w:pStyle w:val="CRCoverPage"/>
        <w:spacing w:before="120"/>
        <w:jc w:val="both"/>
        <w:rPr>
          <w:b/>
          <w:lang w:val="en-US"/>
        </w:rPr>
      </w:pPr>
    </w:p>
    <w:p w14:paraId="53B1CC7B" w14:textId="77777777" w:rsidR="003A3AC5" w:rsidRDefault="003A3AC5" w:rsidP="00937FDA">
      <w:pPr>
        <w:pStyle w:val="CRCoverPage"/>
        <w:spacing w:before="120"/>
        <w:jc w:val="both"/>
        <w:rPr>
          <w:rFonts w:eastAsiaTheme="minorEastAsia" w:cs="Arial"/>
          <w:bCs/>
          <w:i/>
          <w:iCs/>
          <w:sz w:val="18"/>
          <w:szCs w:val="18"/>
          <w:lang w:val="en-US"/>
        </w:rPr>
      </w:pPr>
    </w:p>
    <w:p w14:paraId="66FE69D7" w14:textId="77777777" w:rsidR="003A3AC5" w:rsidRPr="00785F4B" w:rsidRDefault="003A3AC5" w:rsidP="00937FDA">
      <w:pPr>
        <w:pStyle w:val="CRCoverPage"/>
        <w:spacing w:before="120"/>
        <w:jc w:val="both"/>
        <w:rPr>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0962C17E" w14:textId="77777777" w:rsidR="00A83E17" w:rsidRDefault="003E5283" w:rsidP="00642F89">
      <w:pPr>
        <w:rPr>
          <w:rFonts w:eastAsia="MS Mincho"/>
          <w:lang w:val="en-US" w:eastAsia="en-US"/>
        </w:rPr>
      </w:pPr>
      <w:r>
        <w:rPr>
          <w:rFonts w:eastAsia="MS Mincho"/>
          <w:lang w:val="en-US" w:eastAsia="en-US"/>
        </w:rPr>
        <w:t xml:space="preserve">In this paper, we </w:t>
      </w:r>
      <w:r w:rsidR="00A551F1">
        <w:rPr>
          <w:rFonts w:eastAsia="MS Mincho"/>
          <w:lang w:val="en-US" w:eastAsia="en-US"/>
        </w:rPr>
        <w:t xml:space="preserve">discuss the FFS issue for exceptional TX pool and valid duration of SL configured grant. </w:t>
      </w:r>
    </w:p>
    <w:p w14:paraId="6A442379" w14:textId="77777777" w:rsidR="00A83E17" w:rsidRDefault="00A83E17" w:rsidP="00642F89">
      <w:pPr>
        <w:rPr>
          <w:rFonts w:eastAsia="MS Mincho"/>
          <w:lang w:val="en-US" w:eastAsia="en-US"/>
        </w:rPr>
      </w:pPr>
    </w:p>
    <w:p w14:paraId="5BA363D6" w14:textId="77777777" w:rsidR="00B50477" w:rsidRPr="00591837" w:rsidRDefault="00B50477" w:rsidP="00B50477">
      <w:pPr>
        <w:rPr>
          <w:rFonts w:eastAsia="Malgun Gothic"/>
          <w:b/>
          <w:lang w:val="en-US" w:eastAsia="ko-KR"/>
        </w:rPr>
      </w:pPr>
      <w:r w:rsidRPr="00591837">
        <w:rPr>
          <w:rFonts w:eastAsia="Malgun Gothic"/>
          <w:b/>
          <w:lang w:val="en-US" w:eastAsia="ko-KR"/>
        </w:rPr>
        <w:t>Observation: Based on RAN1 LS, SR-like indication for BFR is used to request resource for BFR MAC CE transmission. Therefore it can be modelled as a special SR configuration dedicated for BFR.</w:t>
      </w:r>
    </w:p>
    <w:p w14:paraId="6BF98063" w14:textId="77777777" w:rsidR="00A83E17" w:rsidRDefault="00A83E17" w:rsidP="00642F89">
      <w:pPr>
        <w:rPr>
          <w:rFonts w:eastAsia="MS Mincho"/>
          <w:lang w:val="en-US" w:eastAsia="en-US"/>
        </w:rPr>
      </w:pPr>
    </w:p>
    <w:p w14:paraId="12B0E4FD" w14:textId="2CA5A8A9" w:rsidR="00642F89" w:rsidRDefault="003E5283" w:rsidP="00642F89">
      <w:pPr>
        <w:rPr>
          <w:rFonts w:eastAsia="MS Mincho"/>
          <w:lang w:val="en-US" w:eastAsia="en-US"/>
        </w:rPr>
      </w:pPr>
      <w:r>
        <w:rPr>
          <w:rFonts w:eastAsia="MS Mincho"/>
          <w:lang w:val="en-US" w:eastAsia="en-US"/>
        </w:rPr>
        <w:t>Based on discussion above, we propose</w:t>
      </w:r>
    </w:p>
    <w:p w14:paraId="75E98BE5" w14:textId="77777777" w:rsidR="003E5283" w:rsidRDefault="003E5283" w:rsidP="00642F89">
      <w:pPr>
        <w:rPr>
          <w:rFonts w:eastAsia="MS Mincho"/>
          <w:lang w:val="en-US" w:eastAsia="en-US"/>
        </w:rPr>
      </w:pPr>
    </w:p>
    <w:p w14:paraId="23EC42FF" w14:textId="6E62D1B7" w:rsidR="00BC758D" w:rsidRDefault="00BC758D" w:rsidP="00642F89">
      <w:pPr>
        <w:rPr>
          <w:rFonts w:eastAsia="MS Mincho"/>
          <w:b/>
          <w:u w:val="single"/>
          <w:lang w:val="en-US" w:eastAsia="en-US"/>
        </w:rPr>
      </w:pPr>
      <w:r w:rsidRPr="00BC758D">
        <w:rPr>
          <w:rFonts w:eastAsia="MS Mincho"/>
          <w:b/>
          <w:u w:val="single"/>
          <w:lang w:val="en-US" w:eastAsia="en-US"/>
        </w:rPr>
        <w:t>For SR-like indication and BFRQ procedure:</w:t>
      </w:r>
    </w:p>
    <w:p w14:paraId="60145B08" w14:textId="77777777" w:rsidR="00BC758D" w:rsidRPr="00BC758D" w:rsidRDefault="00BC758D" w:rsidP="00642F89">
      <w:pPr>
        <w:rPr>
          <w:rFonts w:eastAsia="MS Mincho"/>
          <w:b/>
          <w:u w:val="single"/>
          <w:lang w:val="en-US" w:eastAsia="en-US"/>
        </w:rPr>
      </w:pPr>
    </w:p>
    <w:p w14:paraId="1330D70C" w14:textId="77777777" w:rsidR="00BC758D" w:rsidRPr="0057633A" w:rsidRDefault="00BC758D" w:rsidP="00BC758D">
      <w:pPr>
        <w:pStyle w:val="ListParagraph"/>
        <w:numPr>
          <w:ilvl w:val="0"/>
          <w:numId w:val="26"/>
        </w:numPr>
        <w:ind w:left="1440" w:hanging="720"/>
        <w:rPr>
          <w:rFonts w:ascii="Arial" w:eastAsia="Malgun Gothic" w:hAnsi="Arial" w:cs="Arial"/>
          <w:b/>
          <w:lang w:val="en-US" w:eastAsia="ko-KR"/>
        </w:rPr>
      </w:pPr>
      <w:r w:rsidRPr="0057633A">
        <w:rPr>
          <w:rFonts w:ascii="Arial" w:eastAsia="Malgun Gothic" w:hAnsi="Arial" w:cs="Arial"/>
          <w:b/>
          <w:lang w:val="en-US" w:eastAsia="ko-KR"/>
        </w:rPr>
        <w:t>To support BFR for SCell, NW configure UE a SR configuration dedicated for BFR, i.e. including the periodicity and offset of PUCCH resource, along with corresponding sr-counter, and sr timer.</w:t>
      </w:r>
    </w:p>
    <w:p w14:paraId="4F25116E" w14:textId="77777777" w:rsidR="00BC758D" w:rsidRPr="00146B99" w:rsidRDefault="00BC758D" w:rsidP="00BC758D">
      <w:pPr>
        <w:pStyle w:val="ListParagraph"/>
        <w:ind w:left="1854"/>
        <w:rPr>
          <w:rFonts w:ascii="Arial" w:eastAsia="Malgun Gothic" w:hAnsi="Arial" w:cs="Arial"/>
          <w:b/>
          <w:lang w:val="en-US" w:eastAsia="ko-KR"/>
        </w:rPr>
      </w:pPr>
    </w:p>
    <w:p w14:paraId="5C1A851F" w14:textId="77777777" w:rsidR="00BC758D" w:rsidRPr="00146B99" w:rsidRDefault="00BC758D" w:rsidP="00BC758D">
      <w:pPr>
        <w:pStyle w:val="ListParagraph"/>
        <w:numPr>
          <w:ilvl w:val="0"/>
          <w:numId w:val="26"/>
        </w:numPr>
        <w:ind w:left="1854" w:hanging="1134"/>
        <w:rPr>
          <w:rFonts w:ascii="Arial" w:eastAsia="Malgun Gothic" w:hAnsi="Arial" w:cs="Arial"/>
          <w:b/>
          <w:lang w:val="en-US" w:eastAsia="ko-KR"/>
        </w:rPr>
      </w:pPr>
      <w:r w:rsidRPr="00146B99">
        <w:rPr>
          <w:rFonts w:ascii="Arial" w:eastAsia="Malgun Gothic" w:hAnsi="Arial" w:cs="Arial"/>
          <w:b/>
          <w:lang w:val="en-US" w:eastAsia="ko-KR"/>
        </w:rPr>
        <w:t>As in legacy SR-BSR procedure, when BFR for a SCell is detected, BFRQ for the SCell with beam failure is triggered. Once the BFRQ for a SCell is triggered, it keeps pending until BFRQ information of the corresponding SCell is included in a MAC PDU and the MAC PDU is transmitted.</w:t>
      </w:r>
    </w:p>
    <w:p w14:paraId="2A16A7E5" w14:textId="77777777" w:rsidR="00BC758D" w:rsidRPr="00AC6B1E" w:rsidRDefault="00BC758D" w:rsidP="00BC758D">
      <w:pPr>
        <w:ind w:left="720"/>
        <w:rPr>
          <w:rFonts w:eastAsia="Malgun Gothic"/>
          <w:b/>
          <w:lang w:val="en-US" w:eastAsia="ko-KR"/>
        </w:rPr>
      </w:pPr>
    </w:p>
    <w:p w14:paraId="4233B300" w14:textId="77777777" w:rsidR="00BC758D" w:rsidRPr="00146B99" w:rsidRDefault="00BC758D" w:rsidP="00BC758D">
      <w:pPr>
        <w:pStyle w:val="ListParagraph"/>
        <w:numPr>
          <w:ilvl w:val="0"/>
          <w:numId w:val="26"/>
        </w:numPr>
        <w:ind w:left="1854" w:hanging="1134"/>
        <w:rPr>
          <w:rFonts w:ascii="Arial" w:eastAsia="Malgun Gothic" w:hAnsi="Arial" w:cs="Arial"/>
          <w:b/>
          <w:lang w:val="en-US" w:eastAsia="ko-KR"/>
        </w:rPr>
      </w:pPr>
      <w:r w:rsidRPr="00146B99">
        <w:rPr>
          <w:rFonts w:ascii="Arial" w:eastAsia="Malgun Gothic" w:hAnsi="Arial" w:cs="Arial"/>
          <w:b/>
          <w:lang w:val="en-US" w:eastAsia="ko-KR"/>
        </w:rPr>
        <w:t>When a BFRQ for a SCell is pending, if UE has no UL resource available to transmit the BFRQ MAC CE, SR-like indication associated with the SCell is triggered. When a SR-like indication is triggered, it keeps pending until it is cancelled.</w:t>
      </w:r>
    </w:p>
    <w:p w14:paraId="5466EF09" w14:textId="77777777" w:rsidR="00BC758D" w:rsidRDefault="00BC758D" w:rsidP="00BC758D">
      <w:pPr>
        <w:ind w:left="720"/>
        <w:rPr>
          <w:rFonts w:eastAsia="Malgun Gothic"/>
          <w:b/>
          <w:lang w:val="en-US" w:eastAsia="ko-KR"/>
        </w:rPr>
      </w:pPr>
    </w:p>
    <w:p w14:paraId="0BED2150" w14:textId="77777777" w:rsidR="00BC758D" w:rsidRPr="00146B99" w:rsidRDefault="00BC758D" w:rsidP="00BC758D">
      <w:pPr>
        <w:pStyle w:val="ListParagraph"/>
        <w:numPr>
          <w:ilvl w:val="0"/>
          <w:numId w:val="26"/>
        </w:numPr>
        <w:ind w:left="1854" w:hanging="1134"/>
        <w:rPr>
          <w:rFonts w:ascii="Arial" w:eastAsia="Malgun Gothic" w:hAnsi="Arial" w:cs="Arial"/>
          <w:b/>
          <w:lang w:val="en-US" w:eastAsia="ko-KR"/>
        </w:rPr>
      </w:pPr>
      <w:r w:rsidRPr="00146B99">
        <w:rPr>
          <w:rFonts w:ascii="Arial" w:eastAsia="Malgun Gothic" w:hAnsi="Arial" w:cs="Arial"/>
          <w:b/>
          <w:lang w:val="en-US" w:eastAsia="ko-KR"/>
        </w:rPr>
        <w:t>When a SR-like indication is triggered, it keeps pending until a MAC PDU including the BFRQ information of the corresponding SCell is transmitted. Those pending SR-like indications whose BFRQ information is not included in the transmitted MAC PDU keep pending.</w:t>
      </w:r>
    </w:p>
    <w:p w14:paraId="665FDF62" w14:textId="77777777" w:rsidR="00BC758D" w:rsidRDefault="00BC758D" w:rsidP="00BC758D">
      <w:pPr>
        <w:ind w:left="720"/>
        <w:rPr>
          <w:rFonts w:eastAsia="Malgun Gothic"/>
          <w:b/>
          <w:lang w:val="en-US" w:eastAsia="ko-KR"/>
        </w:rPr>
      </w:pPr>
    </w:p>
    <w:p w14:paraId="0709B189" w14:textId="77777777" w:rsidR="00BC758D" w:rsidRPr="00146B99" w:rsidRDefault="00BC758D" w:rsidP="00BC758D">
      <w:pPr>
        <w:pStyle w:val="ListParagraph"/>
        <w:numPr>
          <w:ilvl w:val="0"/>
          <w:numId w:val="26"/>
        </w:numPr>
        <w:ind w:left="1854" w:hanging="1134"/>
        <w:rPr>
          <w:rFonts w:ascii="Arial" w:eastAsia="Malgun Gothic" w:hAnsi="Arial" w:cs="Arial"/>
          <w:b/>
          <w:lang w:val="en-US" w:eastAsia="ko-KR"/>
        </w:rPr>
      </w:pPr>
      <w:r w:rsidRPr="00146B99">
        <w:rPr>
          <w:rFonts w:ascii="Arial" w:eastAsia="Malgun Gothic" w:hAnsi="Arial" w:cs="Arial"/>
          <w:b/>
          <w:lang w:val="en-US" w:eastAsia="ko-KR"/>
        </w:rPr>
        <w:t>Same as legacy NR Uu behavior, if SR-like indication already reaches the maximum number of PUCCH transmission configured for the applied SR configuration, UE cancel all pending SRs and trigger contention-based RACH on SpCell.</w:t>
      </w:r>
    </w:p>
    <w:p w14:paraId="616AE1A6" w14:textId="77777777" w:rsidR="00BC758D" w:rsidRDefault="00BC758D" w:rsidP="00BC758D">
      <w:pPr>
        <w:ind w:left="720"/>
        <w:rPr>
          <w:rFonts w:eastAsia="Malgun Gothic"/>
          <w:b/>
          <w:highlight w:val="green"/>
          <w:lang w:val="en-US" w:eastAsia="ko-KR"/>
        </w:rPr>
      </w:pPr>
    </w:p>
    <w:p w14:paraId="5C5F81B5" w14:textId="77777777" w:rsidR="00BC758D" w:rsidRDefault="00BC758D" w:rsidP="00BC758D">
      <w:pPr>
        <w:pStyle w:val="ListParagraph"/>
        <w:numPr>
          <w:ilvl w:val="0"/>
          <w:numId w:val="26"/>
        </w:numPr>
        <w:ind w:left="1854" w:hanging="1134"/>
        <w:rPr>
          <w:rFonts w:ascii="Arial" w:eastAsia="Malgun Gothic" w:hAnsi="Arial" w:cs="Arial"/>
          <w:b/>
          <w:lang w:val="en-US" w:eastAsia="ko-KR"/>
        </w:rPr>
      </w:pPr>
      <w:r w:rsidRPr="00146B99">
        <w:rPr>
          <w:rFonts w:ascii="Arial" w:eastAsia="Malgun Gothic" w:hAnsi="Arial" w:cs="Arial"/>
          <w:b/>
          <w:lang w:val="en-US" w:eastAsia="ko-KR"/>
        </w:rPr>
        <w:lastRenderedPageBreak/>
        <w:t>If CBRA fallback for SR-like indication failure is agreed, RAN2 do not specify RACH prioritization rule for stopping or continuing ongoing RACH procedure.</w:t>
      </w:r>
    </w:p>
    <w:p w14:paraId="7F054CA9" w14:textId="77777777" w:rsidR="00BC758D" w:rsidRPr="00BC758D" w:rsidRDefault="00BC758D" w:rsidP="00BC758D">
      <w:pPr>
        <w:pStyle w:val="ListParagraph"/>
        <w:ind w:left="1440"/>
        <w:rPr>
          <w:rFonts w:ascii="Arial" w:eastAsia="Malgun Gothic" w:hAnsi="Arial" w:cs="Arial"/>
          <w:b/>
          <w:lang w:val="en-US" w:eastAsia="ko-KR"/>
        </w:rPr>
      </w:pPr>
    </w:p>
    <w:p w14:paraId="227F0C3D" w14:textId="77777777" w:rsidR="00BC758D" w:rsidRPr="00146B99" w:rsidRDefault="00BC758D" w:rsidP="00BC758D">
      <w:pPr>
        <w:pStyle w:val="ListParagraph"/>
        <w:ind w:left="1854"/>
        <w:rPr>
          <w:rFonts w:ascii="Arial" w:eastAsia="Malgun Gothic" w:hAnsi="Arial" w:cs="Arial"/>
          <w:b/>
          <w:lang w:val="en-US" w:eastAsia="ko-KR"/>
        </w:rPr>
      </w:pPr>
    </w:p>
    <w:p w14:paraId="79A6A3E9" w14:textId="77777777" w:rsidR="00BC758D" w:rsidRPr="00146B99" w:rsidRDefault="00BC758D" w:rsidP="00BC758D">
      <w:pPr>
        <w:pStyle w:val="ListParagraph"/>
        <w:numPr>
          <w:ilvl w:val="0"/>
          <w:numId w:val="26"/>
        </w:numPr>
        <w:ind w:left="1854" w:hanging="1134"/>
        <w:rPr>
          <w:rFonts w:ascii="Arial" w:eastAsia="Malgun Gothic" w:hAnsi="Arial" w:cs="Arial"/>
          <w:b/>
          <w:lang w:val="en-US" w:eastAsia="ko-KR"/>
        </w:rPr>
      </w:pPr>
      <w:r w:rsidRPr="00146B99">
        <w:rPr>
          <w:rFonts w:ascii="Arial" w:eastAsia="Malgun Gothic" w:hAnsi="Arial" w:cs="Arial"/>
          <w:b/>
          <w:lang w:val="en-US" w:eastAsia="ko-KR"/>
        </w:rPr>
        <w:t>If PUCCH for SR-like indication is overlapped with PUCCH for normal SR, UE select to send the PUCCH for SR-like indication.</w:t>
      </w:r>
    </w:p>
    <w:p w14:paraId="618C7C2D" w14:textId="77777777" w:rsidR="00BC758D" w:rsidRDefault="00BC758D" w:rsidP="00BC758D">
      <w:pPr>
        <w:rPr>
          <w:rFonts w:eastAsia="Malgun Gothic" w:cs="Arial"/>
          <w:b/>
          <w:lang w:val="en-US" w:eastAsia="ko-KR"/>
        </w:rPr>
      </w:pPr>
    </w:p>
    <w:p w14:paraId="547D3F33" w14:textId="3639A2A9" w:rsidR="00BC758D" w:rsidRDefault="00BC758D" w:rsidP="00BC758D">
      <w:pPr>
        <w:rPr>
          <w:rFonts w:eastAsia="MS Mincho"/>
          <w:b/>
          <w:u w:val="single"/>
          <w:lang w:val="en-US" w:eastAsia="en-US"/>
        </w:rPr>
      </w:pPr>
      <w:r w:rsidRPr="00BC758D">
        <w:rPr>
          <w:rFonts w:eastAsia="MS Mincho"/>
          <w:b/>
          <w:u w:val="single"/>
          <w:lang w:val="en-US" w:eastAsia="en-US"/>
        </w:rPr>
        <w:t xml:space="preserve">For BFRQ </w:t>
      </w:r>
      <w:r>
        <w:rPr>
          <w:rFonts w:eastAsia="MS Mincho"/>
          <w:b/>
          <w:u w:val="single"/>
          <w:lang w:val="en-US" w:eastAsia="en-US"/>
        </w:rPr>
        <w:t>MAC CE format</w:t>
      </w:r>
      <w:r w:rsidRPr="00BC758D">
        <w:rPr>
          <w:rFonts w:eastAsia="MS Mincho"/>
          <w:b/>
          <w:u w:val="single"/>
          <w:lang w:val="en-US" w:eastAsia="en-US"/>
        </w:rPr>
        <w:t>:</w:t>
      </w:r>
    </w:p>
    <w:p w14:paraId="66F1A8C4" w14:textId="77777777" w:rsidR="00BC758D" w:rsidRDefault="00BC758D" w:rsidP="00BC758D">
      <w:pPr>
        <w:rPr>
          <w:rFonts w:eastAsia="Malgun Gothic" w:cs="Arial"/>
          <w:b/>
          <w:lang w:val="en-US" w:eastAsia="ko-KR"/>
        </w:rPr>
      </w:pPr>
    </w:p>
    <w:p w14:paraId="5FE44D7B" w14:textId="77777777" w:rsidR="00BC758D" w:rsidRPr="00BC758D" w:rsidRDefault="00BC758D" w:rsidP="00BC758D">
      <w:pPr>
        <w:rPr>
          <w:rFonts w:eastAsia="Malgun Gothic" w:cs="Arial"/>
          <w:b/>
          <w:lang w:val="en-US" w:eastAsia="ko-KR"/>
        </w:rPr>
      </w:pPr>
    </w:p>
    <w:p w14:paraId="21CE6ABE" w14:textId="77777777" w:rsidR="00BC758D" w:rsidRPr="00BC758D" w:rsidRDefault="00BC758D" w:rsidP="00BC758D">
      <w:pPr>
        <w:pStyle w:val="ListParagraph"/>
        <w:numPr>
          <w:ilvl w:val="0"/>
          <w:numId w:val="26"/>
        </w:numPr>
        <w:ind w:left="1854" w:hanging="1134"/>
        <w:rPr>
          <w:rFonts w:ascii="Arial" w:eastAsia="Malgun Gothic" w:hAnsi="Arial" w:cs="Arial"/>
          <w:b/>
          <w:lang w:val="en-US" w:eastAsia="ko-KR"/>
        </w:rPr>
      </w:pPr>
      <w:r w:rsidRPr="00146B99">
        <w:rPr>
          <w:rFonts w:ascii="Arial" w:eastAsia="Malgun Gothic" w:hAnsi="Arial" w:cs="Arial"/>
          <w:b/>
          <w:lang w:val="en-US" w:eastAsia="ko-KR"/>
        </w:rPr>
        <w:t>The priority of BFR MAC CE is put after “C-RNTI MAC CE or data from UL-CCCH” and before “Configured Grant Confirmation MAC CE”.</w:t>
      </w:r>
    </w:p>
    <w:p w14:paraId="6648DA5A" w14:textId="06E1D192" w:rsidR="00BC758D" w:rsidRDefault="00BC758D" w:rsidP="00BC758D">
      <w:pPr>
        <w:pStyle w:val="ListParagraph"/>
        <w:ind w:left="1854"/>
        <w:rPr>
          <w:rFonts w:eastAsia="Malgun Gothic"/>
          <w:b/>
          <w:lang w:val="en-US" w:eastAsia="ko-KR"/>
        </w:rPr>
      </w:pPr>
      <w:r>
        <w:rPr>
          <w:rFonts w:eastAsia="Malgun Gothic"/>
          <w:b/>
          <w:lang w:val="en-US" w:eastAsia="ko-KR"/>
        </w:rPr>
        <w:t xml:space="preserve"> </w:t>
      </w:r>
    </w:p>
    <w:p w14:paraId="13ED9A12" w14:textId="30D7A056" w:rsidR="00BC758D" w:rsidRPr="00146B99" w:rsidRDefault="00BC758D" w:rsidP="00BC758D">
      <w:pPr>
        <w:pStyle w:val="ListParagraph"/>
        <w:numPr>
          <w:ilvl w:val="0"/>
          <w:numId w:val="26"/>
        </w:numPr>
        <w:ind w:left="1854" w:hanging="1134"/>
        <w:rPr>
          <w:rFonts w:ascii="Arial" w:eastAsia="Malgun Gothic" w:hAnsi="Arial" w:cs="Arial"/>
          <w:b/>
          <w:lang w:val="en-US" w:eastAsia="ko-KR"/>
        </w:rPr>
      </w:pPr>
      <w:r w:rsidRPr="00146B99">
        <w:rPr>
          <w:rFonts w:ascii="Arial" w:eastAsia="Malgun Gothic" w:hAnsi="Arial" w:cs="Arial"/>
          <w:b/>
          <w:lang w:val="en-US" w:eastAsia="ko-KR"/>
        </w:rPr>
        <w:t>Both truncated and non-truncated BFR</w:t>
      </w:r>
      <w:r w:rsidR="00321F08">
        <w:rPr>
          <w:rFonts w:ascii="Arial" w:eastAsia="Malgun Gothic" w:hAnsi="Arial" w:cs="Arial"/>
          <w:b/>
          <w:lang w:val="en-US" w:eastAsia="ko-KR"/>
        </w:rPr>
        <w:t>Q</w:t>
      </w:r>
      <w:r w:rsidRPr="00146B99">
        <w:rPr>
          <w:rFonts w:ascii="Arial" w:eastAsia="Malgun Gothic" w:hAnsi="Arial" w:cs="Arial"/>
          <w:b/>
          <w:lang w:val="en-US" w:eastAsia="ko-KR"/>
        </w:rPr>
        <w:t xml:space="preserve"> MAC CE format is supported.</w:t>
      </w:r>
    </w:p>
    <w:p w14:paraId="1D3C632E" w14:textId="77777777" w:rsidR="00BC758D" w:rsidRDefault="00BC758D" w:rsidP="00BC758D">
      <w:pPr>
        <w:pStyle w:val="CRCoverPage"/>
        <w:spacing w:before="120"/>
        <w:ind w:left="720"/>
        <w:jc w:val="both"/>
        <w:rPr>
          <w:b/>
          <w:lang w:val="en-US"/>
        </w:rPr>
      </w:pPr>
    </w:p>
    <w:p w14:paraId="33D4C1E4" w14:textId="422F6F8F" w:rsidR="00BC758D" w:rsidRPr="00146B99" w:rsidRDefault="00BC758D" w:rsidP="00BC758D">
      <w:pPr>
        <w:pStyle w:val="ListParagraph"/>
        <w:numPr>
          <w:ilvl w:val="0"/>
          <w:numId w:val="26"/>
        </w:numPr>
        <w:ind w:left="1854" w:hanging="1134"/>
        <w:rPr>
          <w:rFonts w:ascii="Arial" w:eastAsia="Malgun Gothic" w:hAnsi="Arial" w:cs="Arial"/>
          <w:b/>
          <w:lang w:val="en-US" w:eastAsia="ko-KR"/>
        </w:rPr>
      </w:pPr>
      <w:r w:rsidRPr="00146B99">
        <w:rPr>
          <w:rFonts w:ascii="Arial" w:eastAsia="Malgun Gothic" w:hAnsi="Arial" w:cs="Arial"/>
          <w:b/>
          <w:lang w:val="en-US" w:eastAsia="ko-KR"/>
        </w:rPr>
        <w:t>BFR</w:t>
      </w:r>
      <w:r w:rsidR="00321F08">
        <w:rPr>
          <w:rFonts w:ascii="Arial" w:eastAsia="Malgun Gothic" w:hAnsi="Arial" w:cs="Arial"/>
          <w:b/>
          <w:lang w:val="en-US" w:eastAsia="ko-KR"/>
        </w:rPr>
        <w:t>Q</w:t>
      </w:r>
      <w:r w:rsidRPr="00146B99">
        <w:rPr>
          <w:rFonts w:ascii="Arial" w:eastAsia="Malgun Gothic" w:hAnsi="Arial" w:cs="Arial"/>
          <w:b/>
          <w:lang w:val="en-US" w:eastAsia="ko-KR"/>
        </w:rPr>
        <w:t xml:space="preserve"> MAC CE is a flexible-size MAC CE which can carry BFRQ information for multiple SCells.</w:t>
      </w:r>
    </w:p>
    <w:p w14:paraId="0304AE6F" w14:textId="77777777" w:rsidR="00BC758D" w:rsidRDefault="00BC758D" w:rsidP="00BC758D">
      <w:pPr>
        <w:pStyle w:val="CRCoverPage"/>
        <w:spacing w:before="120"/>
        <w:ind w:left="720"/>
        <w:jc w:val="both"/>
        <w:rPr>
          <w:b/>
          <w:lang w:val="en-US"/>
        </w:rPr>
      </w:pPr>
    </w:p>
    <w:p w14:paraId="65A494CA" w14:textId="77777777" w:rsidR="00BC758D" w:rsidRDefault="00BC758D" w:rsidP="00BC758D">
      <w:pPr>
        <w:pStyle w:val="ListParagraph"/>
        <w:numPr>
          <w:ilvl w:val="0"/>
          <w:numId w:val="26"/>
        </w:numPr>
        <w:ind w:left="1854" w:hanging="1134"/>
        <w:rPr>
          <w:rFonts w:ascii="Arial" w:eastAsia="Malgun Gothic" w:hAnsi="Arial" w:cs="Arial"/>
          <w:b/>
          <w:lang w:val="en-US" w:eastAsia="ko-KR"/>
        </w:rPr>
      </w:pPr>
      <w:r w:rsidRPr="00146B99">
        <w:rPr>
          <w:rFonts w:ascii="Arial" w:eastAsia="Malgun Gothic" w:hAnsi="Arial" w:cs="Arial"/>
          <w:b/>
          <w:lang w:val="en-US" w:eastAsia="ko-KR"/>
        </w:rPr>
        <w:t>RAN2 consider the proposed options for BFRQ MAC CE format (Figure 2-1 to 2-3).</w:t>
      </w:r>
    </w:p>
    <w:p w14:paraId="1C66098C" w14:textId="77777777" w:rsidR="00BC758D" w:rsidRPr="00BC758D" w:rsidRDefault="00BC758D" w:rsidP="00BC758D">
      <w:pPr>
        <w:pStyle w:val="ListParagraph"/>
        <w:rPr>
          <w:rFonts w:ascii="Arial" w:eastAsia="Malgun Gothic" w:hAnsi="Arial" w:cs="Arial"/>
          <w:b/>
          <w:lang w:val="en-US" w:eastAsia="ko-KR"/>
        </w:rPr>
      </w:pPr>
    </w:p>
    <w:p w14:paraId="0500A3B6" w14:textId="77777777" w:rsidR="00BC758D" w:rsidRDefault="00BC758D" w:rsidP="00BC758D">
      <w:pPr>
        <w:pStyle w:val="CRCoverPage"/>
        <w:spacing w:before="120"/>
        <w:jc w:val="both"/>
        <w:rPr>
          <w:rFonts w:eastAsiaTheme="minorEastAsia" w:cs="Arial"/>
          <w:bCs/>
          <w:i/>
          <w:iCs/>
          <w:sz w:val="18"/>
          <w:szCs w:val="18"/>
          <w:lang w:val="en-US"/>
        </w:rPr>
      </w:pPr>
    </w:p>
    <w:p w14:paraId="7166F30E" w14:textId="77777777" w:rsidR="00A223F2" w:rsidRDefault="00A223F2"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17AA821" w14:textId="4FCC8507" w:rsidR="00AA0346" w:rsidRPr="00AA0346" w:rsidRDefault="00AA0346" w:rsidP="00FC1EF9">
      <w:pPr>
        <w:pStyle w:val="Reference"/>
        <w:numPr>
          <w:ilvl w:val="0"/>
          <w:numId w:val="2"/>
        </w:numPr>
        <w:spacing w:before="120" w:after="120"/>
        <w:ind w:left="426" w:right="0" w:hanging="426"/>
        <w:jc w:val="both"/>
        <w:rPr>
          <w:rFonts w:ascii="Arial" w:hAnsi="Arial"/>
          <w:sz w:val="20"/>
          <w:szCs w:val="20"/>
          <w:lang w:val="en-US"/>
        </w:rPr>
      </w:pPr>
      <w:bookmarkStart w:id="2" w:name="_Ref19626732"/>
      <w:bookmarkStart w:id="3" w:name="_Ref15916905"/>
      <w:r w:rsidRPr="00AA0346">
        <w:rPr>
          <w:rFonts w:ascii="Arial" w:hAnsi="Arial"/>
          <w:sz w:val="20"/>
          <w:szCs w:val="20"/>
          <w:lang w:val="en-US"/>
        </w:rPr>
        <w:t>R1-1907870, LS on MAC CE design for SCell BFR, RAN1#97</w:t>
      </w:r>
      <w:bookmarkEnd w:id="2"/>
    </w:p>
    <w:p w14:paraId="087C3E6D" w14:textId="77777777" w:rsidR="00DE7D72" w:rsidRPr="00DE7D72" w:rsidRDefault="003A173F" w:rsidP="00A90CDB">
      <w:pPr>
        <w:pStyle w:val="Reference"/>
        <w:numPr>
          <w:ilvl w:val="0"/>
          <w:numId w:val="2"/>
        </w:numPr>
        <w:spacing w:before="120" w:after="120"/>
        <w:ind w:right="0"/>
        <w:jc w:val="both"/>
        <w:rPr>
          <w:rFonts w:ascii="Arial" w:hAnsi="Arial"/>
          <w:sz w:val="20"/>
          <w:szCs w:val="20"/>
          <w:lang w:val="en-US"/>
        </w:rPr>
      </w:pPr>
      <w:bookmarkStart w:id="4" w:name="_Ref19626735"/>
      <w:r w:rsidRPr="00DE7D72">
        <w:rPr>
          <w:rFonts w:ascii="Arial" w:hAnsi="Arial"/>
          <w:kern w:val="0"/>
          <w:sz w:val="20"/>
          <w:szCs w:val="20"/>
          <w:lang w:val="en-US"/>
        </w:rPr>
        <w:t>RAN2#10</w:t>
      </w:r>
      <w:r w:rsidR="00A551F1" w:rsidRPr="00DE7D72">
        <w:rPr>
          <w:rFonts w:ascii="Arial" w:hAnsi="Arial"/>
          <w:kern w:val="0"/>
          <w:sz w:val="20"/>
          <w:szCs w:val="20"/>
          <w:lang w:val="en-US"/>
        </w:rPr>
        <w:t>7</w:t>
      </w:r>
      <w:r w:rsidRPr="00DE7D72">
        <w:rPr>
          <w:rFonts w:ascii="Arial" w:hAnsi="Arial"/>
          <w:kern w:val="0"/>
          <w:sz w:val="20"/>
          <w:szCs w:val="20"/>
          <w:lang w:val="en-US"/>
        </w:rPr>
        <w:t xml:space="preserve"> Chairman’s note</w:t>
      </w:r>
      <w:bookmarkEnd w:id="3"/>
      <w:bookmarkEnd w:id="4"/>
      <w:r w:rsidR="00EE3608" w:rsidRPr="00DE7D72">
        <w:rPr>
          <w:rFonts w:ascii="Arial" w:hAnsi="Arial"/>
          <w:kern w:val="0"/>
          <w:sz w:val="20"/>
          <w:szCs w:val="20"/>
          <w:lang w:val="en-US"/>
        </w:rPr>
        <w:t xml:space="preserve"> </w:t>
      </w:r>
    </w:p>
    <w:p w14:paraId="2E6E7664" w14:textId="77777777" w:rsidR="00DE7D72" w:rsidRDefault="00F62A52" w:rsidP="0046778C">
      <w:pPr>
        <w:pStyle w:val="Reference"/>
        <w:numPr>
          <w:ilvl w:val="0"/>
          <w:numId w:val="2"/>
        </w:numPr>
        <w:spacing w:before="120" w:after="120"/>
        <w:ind w:right="0"/>
        <w:jc w:val="both"/>
        <w:rPr>
          <w:rFonts w:ascii="Arial" w:hAnsi="Arial"/>
          <w:sz w:val="20"/>
          <w:szCs w:val="20"/>
          <w:lang w:val="en-US"/>
        </w:rPr>
      </w:pPr>
      <w:bookmarkStart w:id="5" w:name="_Ref19626744"/>
      <w:r w:rsidRPr="00DE7D72">
        <w:rPr>
          <w:rFonts w:ascii="Arial" w:hAnsi="Arial"/>
          <w:sz w:val="20"/>
          <w:szCs w:val="20"/>
          <w:lang w:val="en-US"/>
        </w:rPr>
        <w:t>R2-1911795</w:t>
      </w:r>
      <w:r w:rsidR="00A86395" w:rsidRPr="00DE7D72">
        <w:rPr>
          <w:rFonts w:ascii="Arial" w:hAnsi="Arial"/>
          <w:sz w:val="20"/>
          <w:szCs w:val="20"/>
          <w:lang w:val="en-US"/>
        </w:rPr>
        <w:t>,</w:t>
      </w:r>
      <w:r w:rsidR="00A86395" w:rsidRPr="00F62A52">
        <w:t xml:space="preserve"> </w:t>
      </w:r>
      <w:r w:rsidR="00A86395" w:rsidRPr="00DE7D72">
        <w:rPr>
          <w:rFonts w:ascii="Arial" w:hAnsi="Arial"/>
          <w:sz w:val="20"/>
          <w:szCs w:val="20"/>
          <w:lang w:val="en-US"/>
        </w:rPr>
        <w:t>Reply LS on MAC CE design for SCell BFR, RAN2#107</w:t>
      </w:r>
      <w:bookmarkEnd w:id="5"/>
    </w:p>
    <w:p w14:paraId="49E437DB" w14:textId="5EC0A987" w:rsidR="00F62A52" w:rsidRPr="00DE7D72" w:rsidRDefault="00F62A52" w:rsidP="0046778C">
      <w:pPr>
        <w:pStyle w:val="Reference"/>
        <w:numPr>
          <w:ilvl w:val="0"/>
          <w:numId w:val="2"/>
        </w:numPr>
        <w:spacing w:before="120" w:after="120"/>
        <w:ind w:right="0"/>
        <w:jc w:val="both"/>
        <w:rPr>
          <w:rFonts w:ascii="Arial" w:hAnsi="Arial"/>
          <w:sz w:val="20"/>
          <w:szCs w:val="20"/>
          <w:lang w:val="en-US"/>
        </w:rPr>
      </w:pPr>
      <w:bookmarkStart w:id="6" w:name="_Ref19626750"/>
      <w:r w:rsidRPr="00DE7D72">
        <w:rPr>
          <w:rFonts w:ascii="Arial" w:hAnsi="Arial"/>
          <w:sz w:val="20"/>
          <w:szCs w:val="20"/>
          <w:lang w:val="en-US"/>
        </w:rPr>
        <w:t>R1-1909833,</w:t>
      </w:r>
      <w:r w:rsidRPr="00F62A52">
        <w:t xml:space="preserve"> </w:t>
      </w:r>
      <w:r w:rsidRPr="00DE7D72">
        <w:rPr>
          <w:rFonts w:ascii="Arial" w:hAnsi="Arial"/>
          <w:sz w:val="20"/>
          <w:szCs w:val="20"/>
          <w:lang w:val="en-US"/>
        </w:rPr>
        <w:t>Reply LS on MAC CE design for SCell BFR</w:t>
      </w:r>
      <w:r w:rsidR="00A86395" w:rsidRPr="00DE7D72">
        <w:rPr>
          <w:rFonts w:ascii="Arial" w:hAnsi="Arial"/>
          <w:sz w:val="20"/>
          <w:szCs w:val="20"/>
          <w:lang w:val="en-US"/>
        </w:rPr>
        <w:t>, RAN1#98</w:t>
      </w:r>
      <w:bookmarkEnd w:id="6"/>
    </w:p>
    <w:sectPr w:rsidR="00F62A52" w:rsidRPr="00DE7D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EC6D8" w14:textId="77777777" w:rsidR="00037D40" w:rsidRDefault="00037D40" w:rsidP="003B1415">
      <w:pPr>
        <w:spacing w:after="0"/>
      </w:pPr>
      <w:r>
        <w:separator/>
      </w:r>
    </w:p>
  </w:endnote>
  <w:endnote w:type="continuationSeparator" w:id="0">
    <w:p w14:paraId="2105B490" w14:textId="77777777" w:rsidR="00037D40" w:rsidRDefault="00037D40"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n-cs">
    <w:panose1 w:val="00000000000000000000"/>
    <w:charset w:val="00"/>
    <w:family w:val="roman"/>
    <w:notTrueType/>
    <w:pitch w:val="default"/>
  </w:font>
  <w:font w:name="Times">
    <w:panose1 w:val="020206030504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87E23" w14:textId="77777777" w:rsidR="00037D40" w:rsidRDefault="00037D40" w:rsidP="003B1415">
      <w:pPr>
        <w:spacing w:after="0"/>
      </w:pPr>
      <w:r>
        <w:separator/>
      </w:r>
    </w:p>
  </w:footnote>
  <w:footnote w:type="continuationSeparator" w:id="0">
    <w:p w14:paraId="561E6945" w14:textId="77777777" w:rsidR="00037D40" w:rsidRDefault="00037D40"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569F3"/>
    <w:multiLevelType w:val="hybridMultilevel"/>
    <w:tmpl w:val="78BC2ED4"/>
    <w:lvl w:ilvl="0" w:tplc="5BAC6D1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D62D6"/>
    <w:multiLevelType w:val="hybridMultilevel"/>
    <w:tmpl w:val="065C344E"/>
    <w:lvl w:ilvl="0" w:tplc="EE7478FE">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701EC2FC"/>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0553B0E"/>
    <w:multiLevelType w:val="hybridMultilevel"/>
    <w:tmpl w:val="A544AA5A"/>
    <w:lvl w:ilvl="0" w:tplc="AEA0AEC0">
      <w:start w:val="1"/>
      <w:numFmt w:val="bullet"/>
      <w:lvlText w:val="•"/>
      <w:lvlJc w:val="left"/>
      <w:pPr>
        <w:tabs>
          <w:tab w:val="num" w:pos="720"/>
        </w:tabs>
        <w:ind w:left="720" w:hanging="360"/>
      </w:pPr>
      <w:rPr>
        <w:rFonts w:ascii="Arial" w:hAnsi="Arial" w:hint="default"/>
      </w:rPr>
    </w:lvl>
    <w:lvl w:ilvl="1" w:tplc="94BC8448">
      <w:start w:val="56"/>
      <w:numFmt w:val="bullet"/>
      <w:lvlText w:val="•"/>
      <w:lvlJc w:val="left"/>
      <w:pPr>
        <w:tabs>
          <w:tab w:val="num" w:pos="1440"/>
        </w:tabs>
        <w:ind w:left="1440" w:hanging="360"/>
      </w:pPr>
      <w:rPr>
        <w:rFonts w:ascii="Arial" w:hAnsi="Arial" w:hint="default"/>
      </w:rPr>
    </w:lvl>
    <w:lvl w:ilvl="2" w:tplc="63BC9842" w:tentative="1">
      <w:start w:val="1"/>
      <w:numFmt w:val="bullet"/>
      <w:lvlText w:val="•"/>
      <w:lvlJc w:val="left"/>
      <w:pPr>
        <w:tabs>
          <w:tab w:val="num" w:pos="2160"/>
        </w:tabs>
        <w:ind w:left="2160" w:hanging="360"/>
      </w:pPr>
      <w:rPr>
        <w:rFonts w:ascii="Arial" w:hAnsi="Arial" w:hint="default"/>
      </w:rPr>
    </w:lvl>
    <w:lvl w:ilvl="3" w:tplc="7FD8025E" w:tentative="1">
      <w:start w:val="1"/>
      <w:numFmt w:val="bullet"/>
      <w:lvlText w:val="•"/>
      <w:lvlJc w:val="left"/>
      <w:pPr>
        <w:tabs>
          <w:tab w:val="num" w:pos="2880"/>
        </w:tabs>
        <w:ind w:left="2880" w:hanging="360"/>
      </w:pPr>
      <w:rPr>
        <w:rFonts w:ascii="Arial" w:hAnsi="Arial" w:hint="default"/>
      </w:rPr>
    </w:lvl>
    <w:lvl w:ilvl="4" w:tplc="26D4FEE0" w:tentative="1">
      <w:start w:val="1"/>
      <w:numFmt w:val="bullet"/>
      <w:lvlText w:val="•"/>
      <w:lvlJc w:val="left"/>
      <w:pPr>
        <w:tabs>
          <w:tab w:val="num" w:pos="3600"/>
        </w:tabs>
        <w:ind w:left="3600" w:hanging="360"/>
      </w:pPr>
      <w:rPr>
        <w:rFonts w:ascii="Arial" w:hAnsi="Arial" w:hint="default"/>
      </w:rPr>
    </w:lvl>
    <w:lvl w:ilvl="5" w:tplc="64024144" w:tentative="1">
      <w:start w:val="1"/>
      <w:numFmt w:val="bullet"/>
      <w:lvlText w:val="•"/>
      <w:lvlJc w:val="left"/>
      <w:pPr>
        <w:tabs>
          <w:tab w:val="num" w:pos="4320"/>
        </w:tabs>
        <w:ind w:left="4320" w:hanging="360"/>
      </w:pPr>
      <w:rPr>
        <w:rFonts w:ascii="Arial" w:hAnsi="Arial" w:hint="default"/>
      </w:rPr>
    </w:lvl>
    <w:lvl w:ilvl="6" w:tplc="197046E2" w:tentative="1">
      <w:start w:val="1"/>
      <w:numFmt w:val="bullet"/>
      <w:lvlText w:val="•"/>
      <w:lvlJc w:val="left"/>
      <w:pPr>
        <w:tabs>
          <w:tab w:val="num" w:pos="5040"/>
        </w:tabs>
        <w:ind w:left="5040" w:hanging="360"/>
      </w:pPr>
      <w:rPr>
        <w:rFonts w:ascii="Arial" w:hAnsi="Arial" w:hint="default"/>
      </w:rPr>
    </w:lvl>
    <w:lvl w:ilvl="7" w:tplc="99C82940" w:tentative="1">
      <w:start w:val="1"/>
      <w:numFmt w:val="bullet"/>
      <w:lvlText w:val="•"/>
      <w:lvlJc w:val="left"/>
      <w:pPr>
        <w:tabs>
          <w:tab w:val="num" w:pos="5760"/>
        </w:tabs>
        <w:ind w:left="5760" w:hanging="360"/>
      </w:pPr>
      <w:rPr>
        <w:rFonts w:ascii="Arial" w:hAnsi="Arial" w:hint="default"/>
      </w:rPr>
    </w:lvl>
    <w:lvl w:ilvl="8" w:tplc="0AA47C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51275DC"/>
    <w:multiLevelType w:val="hybridMultilevel"/>
    <w:tmpl w:val="8D6276F2"/>
    <w:lvl w:ilvl="0" w:tplc="EE7478FE">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AA17FB"/>
    <w:multiLevelType w:val="hybridMultilevel"/>
    <w:tmpl w:val="78BC2ED4"/>
    <w:lvl w:ilvl="0" w:tplc="5BAC6D1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5"/>
  </w:num>
  <w:num w:numId="4">
    <w:abstractNumId w:val="5"/>
  </w:num>
  <w:num w:numId="5">
    <w:abstractNumId w:val="23"/>
  </w:num>
  <w:num w:numId="6">
    <w:abstractNumId w:val="24"/>
  </w:num>
  <w:num w:numId="7">
    <w:abstractNumId w:val="3"/>
  </w:num>
  <w:num w:numId="8">
    <w:abstractNumId w:val="18"/>
  </w:num>
  <w:num w:numId="9">
    <w:abstractNumId w:val="25"/>
  </w:num>
  <w:num w:numId="10">
    <w:abstractNumId w:val="17"/>
  </w:num>
  <w:num w:numId="11">
    <w:abstractNumId w:val="9"/>
  </w:num>
  <w:num w:numId="12">
    <w:abstractNumId w:val="2"/>
  </w:num>
  <w:num w:numId="13">
    <w:abstractNumId w:val="7"/>
  </w:num>
  <w:num w:numId="14">
    <w:abstractNumId w:val="12"/>
  </w:num>
  <w:num w:numId="15">
    <w:abstractNumId w:val="8"/>
  </w:num>
  <w:num w:numId="16">
    <w:abstractNumId w:val="1"/>
  </w:num>
  <w:num w:numId="17">
    <w:abstractNumId w:val="11"/>
  </w:num>
  <w:num w:numId="18">
    <w:abstractNumId w:val="10"/>
  </w:num>
  <w:num w:numId="19">
    <w:abstractNumId w:val="14"/>
  </w:num>
  <w:num w:numId="20">
    <w:abstractNumId w:val="21"/>
  </w:num>
  <w:num w:numId="21">
    <w:abstractNumId w:val="4"/>
  </w:num>
  <w:num w:numId="22">
    <w:abstractNumId w:val="20"/>
  </w:num>
  <w:num w:numId="23">
    <w:abstractNumId w:val="6"/>
  </w:num>
  <w:num w:numId="24">
    <w:abstractNumId w:val="13"/>
  </w:num>
  <w:num w:numId="25">
    <w:abstractNumId w:val="22"/>
  </w:num>
  <w:num w:numId="2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F74"/>
    <w:rsid w:val="00004026"/>
    <w:rsid w:val="0000577C"/>
    <w:rsid w:val="00005EB8"/>
    <w:rsid w:val="00006571"/>
    <w:rsid w:val="00012FAB"/>
    <w:rsid w:val="00014BE3"/>
    <w:rsid w:val="00020A9C"/>
    <w:rsid w:val="000228C0"/>
    <w:rsid w:val="00024575"/>
    <w:rsid w:val="0002470C"/>
    <w:rsid w:val="00027644"/>
    <w:rsid w:val="00034C5C"/>
    <w:rsid w:val="0003538E"/>
    <w:rsid w:val="00037D40"/>
    <w:rsid w:val="00041863"/>
    <w:rsid w:val="00042F66"/>
    <w:rsid w:val="00044969"/>
    <w:rsid w:val="00046764"/>
    <w:rsid w:val="00052276"/>
    <w:rsid w:val="0005258B"/>
    <w:rsid w:val="00053B43"/>
    <w:rsid w:val="00056885"/>
    <w:rsid w:val="00057625"/>
    <w:rsid w:val="000600E9"/>
    <w:rsid w:val="0006157E"/>
    <w:rsid w:val="00071FE7"/>
    <w:rsid w:val="00074C61"/>
    <w:rsid w:val="000820E2"/>
    <w:rsid w:val="00082376"/>
    <w:rsid w:val="0008357A"/>
    <w:rsid w:val="00083CBD"/>
    <w:rsid w:val="0009091C"/>
    <w:rsid w:val="0009164C"/>
    <w:rsid w:val="000934EA"/>
    <w:rsid w:val="000A3E6F"/>
    <w:rsid w:val="000A7EA5"/>
    <w:rsid w:val="000B23E2"/>
    <w:rsid w:val="000C030C"/>
    <w:rsid w:val="000C2E2B"/>
    <w:rsid w:val="000C313D"/>
    <w:rsid w:val="000C3F46"/>
    <w:rsid w:val="000C4220"/>
    <w:rsid w:val="000C625B"/>
    <w:rsid w:val="000C638E"/>
    <w:rsid w:val="000D04E2"/>
    <w:rsid w:val="000D4D90"/>
    <w:rsid w:val="000D54F2"/>
    <w:rsid w:val="000E2754"/>
    <w:rsid w:val="000E6946"/>
    <w:rsid w:val="000F026E"/>
    <w:rsid w:val="000F084C"/>
    <w:rsid w:val="000F2C19"/>
    <w:rsid w:val="000F39DD"/>
    <w:rsid w:val="000F4C39"/>
    <w:rsid w:val="000F7DA9"/>
    <w:rsid w:val="00115B1E"/>
    <w:rsid w:val="001216B8"/>
    <w:rsid w:val="0012280A"/>
    <w:rsid w:val="0012536C"/>
    <w:rsid w:val="00132BAF"/>
    <w:rsid w:val="00132BF2"/>
    <w:rsid w:val="001344BD"/>
    <w:rsid w:val="001421CE"/>
    <w:rsid w:val="0014570C"/>
    <w:rsid w:val="00146B99"/>
    <w:rsid w:val="00150B17"/>
    <w:rsid w:val="00151FB1"/>
    <w:rsid w:val="00167CA6"/>
    <w:rsid w:val="00170304"/>
    <w:rsid w:val="001722FE"/>
    <w:rsid w:val="00174418"/>
    <w:rsid w:val="00174A43"/>
    <w:rsid w:val="00175A59"/>
    <w:rsid w:val="00177ED6"/>
    <w:rsid w:val="001843AD"/>
    <w:rsid w:val="001A2E82"/>
    <w:rsid w:val="001A3ABA"/>
    <w:rsid w:val="001A45CD"/>
    <w:rsid w:val="001A539F"/>
    <w:rsid w:val="001A61C3"/>
    <w:rsid w:val="001B03FF"/>
    <w:rsid w:val="001B3DBD"/>
    <w:rsid w:val="001C3993"/>
    <w:rsid w:val="001C6813"/>
    <w:rsid w:val="001C7C84"/>
    <w:rsid w:val="001D2982"/>
    <w:rsid w:val="001E0F6E"/>
    <w:rsid w:val="001E2964"/>
    <w:rsid w:val="001E29E8"/>
    <w:rsid w:val="001E4063"/>
    <w:rsid w:val="001E5A61"/>
    <w:rsid w:val="001E5A64"/>
    <w:rsid w:val="001E6F77"/>
    <w:rsid w:val="001F05FE"/>
    <w:rsid w:val="001F2211"/>
    <w:rsid w:val="001F71B5"/>
    <w:rsid w:val="001F75A2"/>
    <w:rsid w:val="00204F1D"/>
    <w:rsid w:val="00205DB9"/>
    <w:rsid w:val="00206659"/>
    <w:rsid w:val="002101AE"/>
    <w:rsid w:val="00211E9A"/>
    <w:rsid w:val="0021439A"/>
    <w:rsid w:val="00215321"/>
    <w:rsid w:val="00221F33"/>
    <w:rsid w:val="00222635"/>
    <w:rsid w:val="0022589A"/>
    <w:rsid w:val="0023001D"/>
    <w:rsid w:val="002304E0"/>
    <w:rsid w:val="00231500"/>
    <w:rsid w:val="00232E7E"/>
    <w:rsid w:val="00233563"/>
    <w:rsid w:val="002342F1"/>
    <w:rsid w:val="00242B40"/>
    <w:rsid w:val="00243604"/>
    <w:rsid w:val="00244B46"/>
    <w:rsid w:val="00246ACB"/>
    <w:rsid w:val="00247A7D"/>
    <w:rsid w:val="00252BA7"/>
    <w:rsid w:val="00256029"/>
    <w:rsid w:val="002561DD"/>
    <w:rsid w:val="00256E49"/>
    <w:rsid w:val="002576D9"/>
    <w:rsid w:val="00263603"/>
    <w:rsid w:val="0026612A"/>
    <w:rsid w:val="002673FF"/>
    <w:rsid w:val="002679BA"/>
    <w:rsid w:val="00267BCD"/>
    <w:rsid w:val="00270CA0"/>
    <w:rsid w:val="002725A6"/>
    <w:rsid w:val="00276565"/>
    <w:rsid w:val="00276955"/>
    <w:rsid w:val="00280824"/>
    <w:rsid w:val="002832E1"/>
    <w:rsid w:val="00286C01"/>
    <w:rsid w:val="00293910"/>
    <w:rsid w:val="00296ED2"/>
    <w:rsid w:val="002979E0"/>
    <w:rsid w:val="002A3351"/>
    <w:rsid w:val="002B0C42"/>
    <w:rsid w:val="002B158E"/>
    <w:rsid w:val="002B5022"/>
    <w:rsid w:val="002B7984"/>
    <w:rsid w:val="002C0A49"/>
    <w:rsid w:val="002D4F76"/>
    <w:rsid w:val="002E107C"/>
    <w:rsid w:val="002E1660"/>
    <w:rsid w:val="002E2177"/>
    <w:rsid w:val="002E3D3B"/>
    <w:rsid w:val="002E51A0"/>
    <w:rsid w:val="002E725C"/>
    <w:rsid w:val="002F3FF4"/>
    <w:rsid w:val="002F48B2"/>
    <w:rsid w:val="002F6031"/>
    <w:rsid w:val="002F78CC"/>
    <w:rsid w:val="00307C75"/>
    <w:rsid w:val="00307FB5"/>
    <w:rsid w:val="003136E1"/>
    <w:rsid w:val="00313FAC"/>
    <w:rsid w:val="003174AC"/>
    <w:rsid w:val="00317D4B"/>
    <w:rsid w:val="00317FA5"/>
    <w:rsid w:val="00321F08"/>
    <w:rsid w:val="00322BB7"/>
    <w:rsid w:val="00322FC1"/>
    <w:rsid w:val="003231BD"/>
    <w:rsid w:val="0033057C"/>
    <w:rsid w:val="003307C6"/>
    <w:rsid w:val="00330FCC"/>
    <w:rsid w:val="00334CE1"/>
    <w:rsid w:val="00347CE8"/>
    <w:rsid w:val="003500EF"/>
    <w:rsid w:val="00350EDD"/>
    <w:rsid w:val="003512FA"/>
    <w:rsid w:val="00351A33"/>
    <w:rsid w:val="00353DE6"/>
    <w:rsid w:val="003543BD"/>
    <w:rsid w:val="003549EA"/>
    <w:rsid w:val="003604D7"/>
    <w:rsid w:val="00362287"/>
    <w:rsid w:val="00362368"/>
    <w:rsid w:val="00370D24"/>
    <w:rsid w:val="0037101A"/>
    <w:rsid w:val="0037185B"/>
    <w:rsid w:val="00372440"/>
    <w:rsid w:val="00375043"/>
    <w:rsid w:val="00377434"/>
    <w:rsid w:val="0038183B"/>
    <w:rsid w:val="00381B5C"/>
    <w:rsid w:val="003849DF"/>
    <w:rsid w:val="00391360"/>
    <w:rsid w:val="00394387"/>
    <w:rsid w:val="00395162"/>
    <w:rsid w:val="00397F27"/>
    <w:rsid w:val="003A173F"/>
    <w:rsid w:val="003A3AC5"/>
    <w:rsid w:val="003A4068"/>
    <w:rsid w:val="003A66C7"/>
    <w:rsid w:val="003A7193"/>
    <w:rsid w:val="003A7381"/>
    <w:rsid w:val="003B1415"/>
    <w:rsid w:val="003B1715"/>
    <w:rsid w:val="003B5ABA"/>
    <w:rsid w:val="003C1164"/>
    <w:rsid w:val="003C2E5E"/>
    <w:rsid w:val="003C4FF6"/>
    <w:rsid w:val="003D0060"/>
    <w:rsid w:val="003D1B4C"/>
    <w:rsid w:val="003D365A"/>
    <w:rsid w:val="003E5283"/>
    <w:rsid w:val="003F7BE2"/>
    <w:rsid w:val="004030AF"/>
    <w:rsid w:val="00405C0C"/>
    <w:rsid w:val="004060CA"/>
    <w:rsid w:val="00410AB8"/>
    <w:rsid w:val="00412D9E"/>
    <w:rsid w:val="0041463F"/>
    <w:rsid w:val="00415A13"/>
    <w:rsid w:val="00416463"/>
    <w:rsid w:val="00420CEF"/>
    <w:rsid w:val="00423D07"/>
    <w:rsid w:val="00425471"/>
    <w:rsid w:val="00426951"/>
    <w:rsid w:val="00426D48"/>
    <w:rsid w:val="004276CA"/>
    <w:rsid w:val="00430638"/>
    <w:rsid w:val="00430DAE"/>
    <w:rsid w:val="0043292A"/>
    <w:rsid w:val="004346F8"/>
    <w:rsid w:val="00435B80"/>
    <w:rsid w:val="00435BAC"/>
    <w:rsid w:val="00447570"/>
    <w:rsid w:val="0044787B"/>
    <w:rsid w:val="00450BAF"/>
    <w:rsid w:val="00457C69"/>
    <w:rsid w:val="0046346C"/>
    <w:rsid w:val="004644B2"/>
    <w:rsid w:val="00466AE5"/>
    <w:rsid w:val="0046701F"/>
    <w:rsid w:val="00473B24"/>
    <w:rsid w:val="00474CA5"/>
    <w:rsid w:val="00481B55"/>
    <w:rsid w:val="0049354A"/>
    <w:rsid w:val="004A3DED"/>
    <w:rsid w:val="004A4555"/>
    <w:rsid w:val="004B047B"/>
    <w:rsid w:val="004B1785"/>
    <w:rsid w:val="004B621D"/>
    <w:rsid w:val="004C09FB"/>
    <w:rsid w:val="004C192A"/>
    <w:rsid w:val="004C4DE1"/>
    <w:rsid w:val="004C507A"/>
    <w:rsid w:val="004D2209"/>
    <w:rsid w:val="004D7993"/>
    <w:rsid w:val="004E02A9"/>
    <w:rsid w:val="004E5A08"/>
    <w:rsid w:val="004F1C7E"/>
    <w:rsid w:val="004F7BF1"/>
    <w:rsid w:val="00501739"/>
    <w:rsid w:val="00505C53"/>
    <w:rsid w:val="005144C1"/>
    <w:rsid w:val="00515F49"/>
    <w:rsid w:val="00517230"/>
    <w:rsid w:val="005212DA"/>
    <w:rsid w:val="005226C4"/>
    <w:rsid w:val="00522C18"/>
    <w:rsid w:val="005241C7"/>
    <w:rsid w:val="00525403"/>
    <w:rsid w:val="00530FCB"/>
    <w:rsid w:val="00537A77"/>
    <w:rsid w:val="00537BC3"/>
    <w:rsid w:val="0054795F"/>
    <w:rsid w:val="00547DC0"/>
    <w:rsid w:val="00553B37"/>
    <w:rsid w:val="0055418D"/>
    <w:rsid w:val="00554EDC"/>
    <w:rsid w:val="005613B4"/>
    <w:rsid w:val="00566FB9"/>
    <w:rsid w:val="005700A4"/>
    <w:rsid w:val="00571F39"/>
    <w:rsid w:val="00575AA7"/>
    <w:rsid w:val="0057633A"/>
    <w:rsid w:val="00576AB4"/>
    <w:rsid w:val="00577288"/>
    <w:rsid w:val="00577767"/>
    <w:rsid w:val="00580534"/>
    <w:rsid w:val="00582033"/>
    <w:rsid w:val="00585DBC"/>
    <w:rsid w:val="00586274"/>
    <w:rsid w:val="00591837"/>
    <w:rsid w:val="005941F9"/>
    <w:rsid w:val="00594EC6"/>
    <w:rsid w:val="005956E7"/>
    <w:rsid w:val="005A0558"/>
    <w:rsid w:val="005A2E06"/>
    <w:rsid w:val="005A46A0"/>
    <w:rsid w:val="005A5D52"/>
    <w:rsid w:val="005B01F0"/>
    <w:rsid w:val="005B0229"/>
    <w:rsid w:val="005B10B4"/>
    <w:rsid w:val="005B5C10"/>
    <w:rsid w:val="005C28BB"/>
    <w:rsid w:val="005C5EDB"/>
    <w:rsid w:val="005E1160"/>
    <w:rsid w:val="005E49C7"/>
    <w:rsid w:val="005F2932"/>
    <w:rsid w:val="005F30F0"/>
    <w:rsid w:val="005F3FAC"/>
    <w:rsid w:val="006014D7"/>
    <w:rsid w:val="00601EB5"/>
    <w:rsid w:val="006020FD"/>
    <w:rsid w:val="0060370A"/>
    <w:rsid w:val="00610303"/>
    <w:rsid w:val="006115D1"/>
    <w:rsid w:val="00611810"/>
    <w:rsid w:val="00611EF5"/>
    <w:rsid w:val="006138A3"/>
    <w:rsid w:val="00613A8C"/>
    <w:rsid w:val="00620082"/>
    <w:rsid w:val="0062332B"/>
    <w:rsid w:val="006255ED"/>
    <w:rsid w:val="00626518"/>
    <w:rsid w:val="006316CA"/>
    <w:rsid w:val="006333E2"/>
    <w:rsid w:val="0063582B"/>
    <w:rsid w:val="006369E7"/>
    <w:rsid w:val="00637188"/>
    <w:rsid w:val="00637CC7"/>
    <w:rsid w:val="00642F89"/>
    <w:rsid w:val="00644563"/>
    <w:rsid w:val="00645DE3"/>
    <w:rsid w:val="00646DB4"/>
    <w:rsid w:val="00646ED2"/>
    <w:rsid w:val="00653DF9"/>
    <w:rsid w:val="00656CC6"/>
    <w:rsid w:val="00656DE1"/>
    <w:rsid w:val="00661021"/>
    <w:rsid w:val="0066209F"/>
    <w:rsid w:val="00663A98"/>
    <w:rsid w:val="00663FA5"/>
    <w:rsid w:val="00667092"/>
    <w:rsid w:val="00670117"/>
    <w:rsid w:val="0067697C"/>
    <w:rsid w:val="00680D11"/>
    <w:rsid w:val="00684CA8"/>
    <w:rsid w:val="00685CA1"/>
    <w:rsid w:val="00687267"/>
    <w:rsid w:val="00691E5A"/>
    <w:rsid w:val="006A13E3"/>
    <w:rsid w:val="006A247E"/>
    <w:rsid w:val="006A335D"/>
    <w:rsid w:val="006A4355"/>
    <w:rsid w:val="006A65DA"/>
    <w:rsid w:val="006B0A48"/>
    <w:rsid w:val="006B140F"/>
    <w:rsid w:val="006C04AB"/>
    <w:rsid w:val="006C1623"/>
    <w:rsid w:val="006D07C4"/>
    <w:rsid w:val="006D3B4A"/>
    <w:rsid w:val="006D5148"/>
    <w:rsid w:val="006D57C8"/>
    <w:rsid w:val="006D5A4B"/>
    <w:rsid w:val="006D60C4"/>
    <w:rsid w:val="006E2668"/>
    <w:rsid w:val="006E7D64"/>
    <w:rsid w:val="006F0EBF"/>
    <w:rsid w:val="006F1494"/>
    <w:rsid w:val="006F1807"/>
    <w:rsid w:val="006F2CD8"/>
    <w:rsid w:val="006F3E09"/>
    <w:rsid w:val="006F3E45"/>
    <w:rsid w:val="006F5344"/>
    <w:rsid w:val="006F5A02"/>
    <w:rsid w:val="00706C34"/>
    <w:rsid w:val="0071090C"/>
    <w:rsid w:val="00720F35"/>
    <w:rsid w:val="0072213C"/>
    <w:rsid w:val="0072350B"/>
    <w:rsid w:val="007244C2"/>
    <w:rsid w:val="00724B25"/>
    <w:rsid w:val="00724B9A"/>
    <w:rsid w:val="007257E9"/>
    <w:rsid w:val="00727AEE"/>
    <w:rsid w:val="00730070"/>
    <w:rsid w:val="00730DE1"/>
    <w:rsid w:val="0073420C"/>
    <w:rsid w:val="0073583B"/>
    <w:rsid w:val="00735E01"/>
    <w:rsid w:val="00737B35"/>
    <w:rsid w:val="00742041"/>
    <w:rsid w:val="007449F2"/>
    <w:rsid w:val="00746DF7"/>
    <w:rsid w:val="00747788"/>
    <w:rsid w:val="00750E97"/>
    <w:rsid w:val="00754D51"/>
    <w:rsid w:val="00767AFC"/>
    <w:rsid w:val="007718CC"/>
    <w:rsid w:val="007720D5"/>
    <w:rsid w:val="007735E4"/>
    <w:rsid w:val="00775D3D"/>
    <w:rsid w:val="00776935"/>
    <w:rsid w:val="00781D30"/>
    <w:rsid w:val="007850DA"/>
    <w:rsid w:val="00785F4B"/>
    <w:rsid w:val="0078706C"/>
    <w:rsid w:val="00792C74"/>
    <w:rsid w:val="00797F1B"/>
    <w:rsid w:val="00797FAD"/>
    <w:rsid w:val="007A286D"/>
    <w:rsid w:val="007A7BE3"/>
    <w:rsid w:val="007B1020"/>
    <w:rsid w:val="007B35FF"/>
    <w:rsid w:val="007B583A"/>
    <w:rsid w:val="007C2FB0"/>
    <w:rsid w:val="007C3B10"/>
    <w:rsid w:val="007C3ED7"/>
    <w:rsid w:val="007C6482"/>
    <w:rsid w:val="007D1769"/>
    <w:rsid w:val="007D5AD5"/>
    <w:rsid w:val="007D5EE7"/>
    <w:rsid w:val="007D7A71"/>
    <w:rsid w:val="007E2B75"/>
    <w:rsid w:val="007E30A2"/>
    <w:rsid w:val="007E6F51"/>
    <w:rsid w:val="007F2D17"/>
    <w:rsid w:val="00801CCC"/>
    <w:rsid w:val="00802BE0"/>
    <w:rsid w:val="00802F6C"/>
    <w:rsid w:val="00803E0A"/>
    <w:rsid w:val="00806F0C"/>
    <w:rsid w:val="00810DD0"/>
    <w:rsid w:val="00812172"/>
    <w:rsid w:val="0081466C"/>
    <w:rsid w:val="00817A56"/>
    <w:rsid w:val="008217B7"/>
    <w:rsid w:val="00824057"/>
    <w:rsid w:val="00825A5A"/>
    <w:rsid w:val="0083000A"/>
    <w:rsid w:val="00832EB6"/>
    <w:rsid w:val="00832FDD"/>
    <w:rsid w:val="00836427"/>
    <w:rsid w:val="0083674A"/>
    <w:rsid w:val="00837765"/>
    <w:rsid w:val="008378EF"/>
    <w:rsid w:val="008416C4"/>
    <w:rsid w:val="008449ED"/>
    <w:rsid w:val="0084649C"/>
    <w:rsid w:val="00846C32"/>
    <w:rsid w:val="008470AB"/>
    <w:rsid w:val="008539EF"/>
    <w:rsid w:val="00853FFD"/>
    <w:rsid w:val="00854125"/>
    <w:rsid w:val="008553CE"/>
    <w:rsid w:val="008571CE"/>
    <w:rsid w:val="008605F9"/>
    <w:rsid w:val="00861035"/>
    <w:rsid w:val="008635F5"/>
    <w:rsid w:val="00863C0C"/>
    <w:rsid w:val="008652E3"/>
    <w:rsid w:val="0086788C"/>
    <w:rsid w:val="00873F66"/>
    <w:rsid w:val="0088075E"/>
    <w:rsid w:val="0089166B"/>
    <w:rsid w:val="00891A23"/>
    <w:rsid w:val="00895B62"/>
    <w:rsid w:val="008A348D"/>
    <w:rsid w:val="008A3DCB"/>
    <w:rsid w:val="008A6BE6"/>
    <w:rsid w:val="008B49E2"/>
    <w:rsid w:val="008B583E"/>
    <w:rsid w:val="008B77AB"/>
    <w:rsid w:val="008C310A"/>
    <w:rsid w:val="008C4471"/>
    <w:rsid w:val="008C5611"/>
    <w:rsid w:val="008D2E17"/>
    <w:rsid w:val="008D51CA"/>
    <w:rsid w:val="008D59D2"/>
    <w:rsid w:val="008E1577"/>
    <w:rsid w:val="008E21AC"/>
    <w:rsid w:val="008F39BE"/>
    <w:rsid w:val="008F3CB4"/>
    <w:rsid w:val="0090090C"/>
    <w:rsid w:val="009015AA"/>
    <w:rsid w:val="009103E4"/>
    <w:rsid w:val="00912342"/>
    <w:rsid w:val="00912FEE"/>
    <w:rsid w:val="009168AF"/>
    <w:rsid w:val="009174AD"/>
    <w:rsid w:val="0091790B"/>
    <w:rsid w:val="009211F5"/>
    <w:rsid w:val="00922AAB"/>
    <w:rsid w:val="009259D4"/>
    <w:rsid w:val="00927784"/>
    <w:rsid w:val="009300A9"/>
    <w:rsid w:val="00937FDA"/>
    <w:rsid w:val="009416BC"/>
    <w:rsid w:val="00945BA3"/>
    <w:rsid w:val="00945D94"/>
    <w:rsid w:val="00945E75"/>
    <w:rsid w:val="009460A4"/>
    <w:rsid w:val="009510A6"/>
    <w:rsid w:val="0095186D"/>
    <w:rsid w:val="00951F65"/>
    <w:rsid w:val="00952570"/>
    <w:rsid w:val="00952B1F"/>
    <w:rsid w:val="00955724"/>
    <w:rsid w:val="00955740"/>
    <w:rsid w:val="00963742"/>
    <w:rsid w:val="0096586A"/>
    <w:rsid w:val="00982663"/>
    <w:rsid w:val="00983562"/>
    <w:rsid w:val="00985378"/>
    <w:rsid w:val="00985601"/>
    <w:rsid w:val="00992D0B"/>
    <w:rsid w:val="009936B9"/>
    <w:rsid w:val="00994E27"/>
    <w:rsid w:val="009A3832"/>
    <w:rsid w:val="009B20D6"/>
    <w:rsid w:val="009B3891"/>
    <w:rsid w:val="009B6AC2"/>
    <w:rsid w:val="009C02E2"/>
    <w:rsid w:val="009C43B4"/>
    <w:rsid w:val="009C494B"/>
    <w:rsid w:val="009C7DA1"/>
    <w:rsid w:val="009D0417"/>
    <w:rsid w:val="009D239C"/>
    <w:rsid w:val="009D29B1"/>
    <w:rsid w:val="009D3FC3"/>
    <w:rsid w:val="009D4071"/>
    <w:rsid w:val="009D4E82"/>
    <w:rsid w:val="009E08F6"/>
    <w:rsid w:val="009E3081"/>
    <w:rsid w:val="009E7274"/>
    <w:rsid w:val="009E77C0"/>
    <w:rsid w:val="009F30C2"/>
    <w:rsid w:val="009F3B40"/>
    <w:rsid w:val="009F44E1"/>
    <w:rsid w:val="00A0027D"/>
    <w:rsid w:val="00A00D9C"/>
    <w:rsid w:val="00A017FC"/>
    <w:rsid w:val="00A02E3B"/>
    <w:rsid w:val="00A07140"/>
    <w:rsid w:val="00A12E22"/>
    <w:rsid w:val="00A14702"/>
    <w:rsid w:val="00A16C1D"/>
    <w:rsid w:val="00A17C92"/>
    <w:rsid w:val="00A2049A"/>
    <w:rsid w:val="00A21E93"/>
    <w:rsid w:val="00A223F2"/>
    <w:rsid w:val="00A27D6E"/>
    <w:rsid w:val="00A301B4"/>
    <w:rsid w:val="00A3288E"/>
    <w:rsid w:val="00A33434"/>
    <w:rsid w:val="00A340C7"/>
    <w:rsid w:val="00A37351"/>
    <w:rsid w:val="00A4193B"/>
    <w:rsid w:val="00A424DB"/>
    <w:rsid w:val="00A424DE"/>
    <w:rsid w:val="00A44EF6"/>
    <w:rsid w:val="00A470FB"/>
    <w:rsid w:val="00A5243F"/>
    <w:rsid w:val="00A54750"/>
    <w:rsid w:val="00A551F1"/>
    <w:rsid w:val="00A577D4"/>
    <w:rsid w:val="00A608C9"/>
    <w:rsid w:val="00A60EAF"/>
    <w:rsid w:val="00A6161C"/>
    <w:rsid w:val="00A63B1D"/>
    <w:rsid w:val="00A63F4F"/>
    <w:rsid w:val="00A645D1"/>
    <w:rsid w:val="00A66442"/>
    <w:rsid w:val="00A703CF"/>
    <w:rsid w:val="00A77D76"/>
    <w:rsid w:val="00A80C45"/>
    <w:rsid w:val="00A83E17"/>
    <w:rsid w:val="00A84A38"/>
    <w:rsid w:val="00A86395"/>
    <w:rsid w:val="00A959F3"/>
    <w:rsid w:val="00A95FF4"/>
    <w:rsid w:val="00AA0346"/>
    <w:rsid w:val="00AA08E4"/>
    <w:rsid w:val="00AA21BE"/>
    <w:rsid w:val="00AA31D9"/>
    <w:rsid w:val="00AA3FA4"/>
    <w:rsid w:val="00AA6B0B"/>
    <w:rsid w:val="00AB042B"/>
    <w:rsid w:val="00AB1099"/>
    <w:rsid w:val="00AB4EC4"/>
    <w:rsid w:val="00AB5A0C"/>
    <w:rsid w:val="00AB5CBE"/>
    <w:rsid w:val="00AB6525"/>
    <w:rsid w:val="00AB69B7"/>
    <w:rsid w:val="00AB6E5E"/>
    <w:rsid w:val="00AB741D"/>
    <w:rsid w:val="00AB7F9C"/>
    <w:rsid w:val="00AC0AB9"/>
    <w:rsid w:val="00AC131F"/>
    <w:rsid w:val="00AC1526"/>
    <w:rsid w:val="00AC3ADE"/>
    <w:rsid w:val="00AC6B1E"/>
    <w:rsid w:val="00AC6DCB"/>
    <w:rsid w:val="00AD3B15"/>
    <w:rsid w:val="00AD3C3F"/>
    <w:rsid w:val="00AD5B00"/>
    <w:rsid w:val="00AD6E23"/>
    <w:rsid w:val="00AE2493"/>
    <w:rsid w:val="00AE3423"/>
    <w:rsid w:val="00AF185B"/>
    <w:rsid w:val="00AF1DB5"/>
    <w:rsid w:val="00AF2887"/>
    <w:rsid w:val="00AF53DA"/>
    <w:rsid w:val="00AF59BB"/>
    <w:rsid w:val="00AF7150"/>
    <w:rsid w:val="00B04CF2"/>
    <w:rsid w:val="00B04F72"/>
    <w:rsid w:val="00B079A4"/>
    <w:rsid w:val="00B149C8"/>
    <w:rsid w:val="00B14EE4"/>
    <w:rsid w:val="00B174B2"/>
    <w:rsid w:val="00B20D07"/>
    <w:rsid w:val="00B216A4"/>
    <w:rsid w:val="00B225A4"/>
    <w:rsid w:val="00B22D63"/>
    <w:rsid w:val="00B308A1"/>
    <w:rsid w:val="00B344B6"/>
    <w:rsid w:val="00B359B7"/>
    <w:rsid w:val="00B37808"/>
    <w:rsid w:val="00B4201E"/>
    <w:rsid w:val="00B4408F"/>
    <w:rsid w:val="00B45066"/>
    <w:rsid w:val="00B45E17"/>
    <w:rsid w:val="00B50477"/>
    <w:rsid w:val="00B516F4"/>
    <w:rsid w:val="00B52322"/>
    <w:rsid w:val="00B55BBB"/>
    <w:rsid w:val="00B6004D"/>
    <w:rsid w:val="00B63DE3"/>
    <w:rsid w:val="00B66DD5"/>
    <w:rsid w:val="00B67552"/>
    <w:rsid w:val="00B67BAE"/>
    <w:rsid w:val="00B73E05"/>
    <w:rsid w:val="00B75422"/>
    <w:rsid w:val="00B77424"/>
    <w:rsid w:val="00B77955"/>
    <w:rsid w:val="00B80F75"/>
    <w:rsid w:val="00B8233D"/>
    <w:rsid w:val="00B83A51"/>
    <w:rsid w:val="00B928E7"/>
    <w:rsid w:val="00B92BBC"/>
    <w:rsid w:val="00B95A15"/>
    <w:rsid w:val="00B960EC"/>
    <w:rsid w:val="00B97774"/>
    <w:rsid w:val="00B97D78"/>
    <w:rsid w:val="00BA0A88"/>
    <w:rsid w:val="00BA5718"/>
    <w:rsid w:val="00BB4FD6"/>
    <w:rsid w:val="00BC1AF6"/>
    <w:rsid w:val="00BC2224"/>
    <w:rsid w:val="00BC5936"/>
    <w:rsid w:val="00BC758D"/>
    <w:rsid w:val="00BD028C"/>
    <w:rsid w:val="00BD02C3"/>
    <w:rsid w:val="00BD0B2F"/>
    <w:rsid w:val="00BD1973"/>
    <w:rsid w:val="00BD43B1"/>
    <w:rsid w:val="00BD613F"/>
    <w:rsid w:val="00BE795F"/>
    <w:rsid w:val="00BF7402"/>
    <w:rsid w:val="00BF7985"/>
    <w:rsid w:val="00C000BA"/>
    <w:rsid w:val="00C058F1"/>
    <w:rsid w:val="00C10761"/>
    <w:rsid w:val="00C11DA9"/>
    <w:rsid w:val="00C121DF"/>
    <w:rsid w:val="00C13490"/>
    <w:rsid w:val="00C14DF6"/>
    <w:rsid w:val="00C150E0"/>
    <w:rsid w:val="00C21B85"/>
    <w:rsid w:val="00C22780"/>
    <w:rsid w:val="00C305F3"/>
    <w:rsid w:val="00C32EA8"/>
    <w:rsid w:val="00C40358"/>
    <w:rsid w:val="00C45D07"/>
    <w:rsid w:val="00C47891"/>
    <w:rsid w:val="00C54C68"/>
    <w:rsid w:val="00C54FD6"/>
    <w:rsid w:val="00C55465"/>
    <w:rsid w:val="00C6227D"/>
    <w:rsid w:val="00C62831"/>
    <w:rsid w:val="00C63495"/>
    <w:rsid w:val="00C6733E"/>
    <w:rsid w:val="00C70EB6"/>
    <w:rsid w:val="00C8073A"/>
    <w:rsid w:val="00C8114D"/>
    <w:rsid w:val="00C82D63"/>
    <w:rsid w:val="00C84953"/>
    <w:rsid w:val="00C93A8C"/>
    <w:rsid w:val="00C96E26"/>
    <w:rsid w:val="00C975EB"/>
    <w:rsid w:val="00CA2160"/>
    <w:rsid w:val="00CA5F4B"/>
    <w:rsid w:val="00CA6308"/>
    <w:rsid w:val="00CB0F18"/>
    <w:rsid w:val="00CB3AD4"/>
    <w:rsid w:val="00CB3F9D"/>
    <w:rsid w:val="00CC0259"/>
    <w:rsid w:val="00CC27BB"/>
    <w:rsid w:val="00CC4076"/>
    <w:rsid w:val="00CC4432"/>
    <w:rsid w:val="00CC6586"/>
    <w:rsid w:val="00CC78AE"/>
    <w:rsid w:val="00CD2132"/>
    <w:rsid w:val="00CD3820"/>
    <w:rsid w:val="00CD4FF9"/>
    <w:rsid w:val="00CD6267"/>
    <w:rsid w:val="00CE391A"/>
    <w:rsid w:val="00CE47BE"/>
    <w:rsid w:val="00CE5801"/>
    <w:rsid w:val="00CE6C5E"/>
    <w:rsid w:val="00CF02D4"/>
    <w:rsid w:val="00CF0618"/>
    <w:rsid w:val="00CF124B"/>
    <w:rsid w:val="00CF38CD"/>
    <w:rsid w:val="00CF3EE3"/>
    <w:rsid w:val="00CF4336"/>
    <w:rsid w:val="00CF6857"/>
    <w:rsid w:val="00D02A3E"/>
    <w:rsid w:val="00D0386B"/>
    <w:rsid w:val="00D0606A"/>
    <w:rsid w:val="00D06B06"/>
    <w:rsid w:val="00D07250"/>
    <w:rsid w:val="00D11A06"/>
    <w:rsid w:val="00D16FF8"/>
    <w:rsid w:val="00D203E8"/>
    <w:rsid w:val="00D248CA"/>
    <w:rsid w:val="00D26371"/>
    <w:rsid w:val="00D301DF"/>
    <w:rsid w:val="00D315F4"/>
    <w:rsid w:val="00D3172D"/>
    <w:rsid w:val="00D33B79"/>
    <w:rsid w:val="00D33F89"/>
    <w:rsid w:val="00D36893"/>
    <w:rsid w:val="00D4027F"/>
    <w:rsid w:val="00D41A99"/>
    <w:rsid w:val="00D433FD"/>
    <w:rsid w:val="00D44177"/>
    <w:rsid w:val="00D45384"/>
    <w:rsid w:val="00D473F4"/>
    <w:rsid w:val="00D53224"/>
    <w:rsid w:val="00D553D9"/>
    <w:rsid w:val="00D555AD"/>
    <w:rsid w:val="00D562D0"/>
    <w:rsid w:val="00D6259D"/>
    <w:rsid w:val="00D63C9C"/>
    <w:rsid w:val="00D644D0"/>
    <w:rsid w:val="00D64BD1"/>
    <w:rsid w:val="00D66506"/>
    <w:rsid w:val="00D67FC6"/>
    <w:rsid w:val="00D7404D"/>
    <w:rsid w:val="00D7600D"/>
    <w:rsid w:val="00D813E6"/>
    <w:rsid w:val="00D84D69"/>
    <w:rsid w:val="00D9387E"/>
    <w:rsid w:val="00D95AD2"/>
    <w:rsid w:val="00D96AA4"/>
    <w:rsid w:val="00D96CC3"/>
    <w:rsid w:val="00D97955"/>
    <w:rsid w:val="00D97BDA"/>
    <w:rsid w:val="00DA070B"/>
    <w:rsid w:val="00DA4A68"/>
    <w:rsid w:val="00DA4A83"/>
    <w:rsid w:val="00DA52D1"/>
    <w:rsid w:val="00DA5F34"/>
    <w:rsid w:val="00DA6136"/>
    <w:rsid w:val="00DB057E"/>
    <w:rsid w:val="00DB0723"/>
    <w:rsid w:val="00DB0988"/>
    <w:rsid w:val="00DB27F9"/>
    <w:rsid w:val="00DB6194"/>
    <w:rsid w:val="00DB6F1B"/>
    <w:rsid w:val="00DC0A37"/>
    <w:rsid w:val="00DC2206"/>
    <w:rsid w:val="00DC40BD"/>
    <w:rsid w:val="00DC7E02"/>
    <w:rsid w:val="00DD0BEA"/>
    <w:rsid w:val="00DD1438"/>
    <w:rsid w:val="00DD1D93"/>
    <w:rsid w:val="00DD1E84"/>
    <w:rsid w:val="00DD6BDA"/>
    <w:rsid w:val="00DE1D7C"/>
    <w:rsid w:val="00DE2C45"/>
    <w:rsid w:val="00DE4C81"/>
    <w:rsid w:val="00DE5287"/>
    <w:rsid w:val="00DE7D72"/>
    <w:rsid w:val="00DF189A"/>
    <w:rsid w:val="00DF21DE"/>
    <w:rsid w:val="00DF284A"/>
    <w:rsid w:val="00DF50B8"/>
    <w:rsid w:val="00DF57C1"/>
    <w:rsid w:val="00DF69F0"/>
    <w:rsid w:val="00DF7B9B"/>
    <w:rsid w:val="00E00C4C"/>
    <w:rsid w:val="00E02092"/>
    <w:rsid w:val="00E043EC"/>
    <w:rsid w:val="00E048BA"/>
    <w:rsid w:val="00E06266"/>
    <w:rsid w:val="00E0651C"/>
    <w:rsid w:val="00E1189D"/>
    <w:rsid w:val="00E15DF9"/>
    <w:rsid w:val="00E170BB"/>
    <w:rsid w:val="00E20160"/>
    <w:rsid w:val="00E24D51"/>
    <w:rsid w:val="00E265D8"/>
    <w:rsid w:val="00E26BB8"/>
    <w:rsid w:val="00E322C8"/>
    <w:rsid w:val="00E358A2"/>
    <w:rsid w:val="00E44184"/>
    <w:rsid w:val="00E444E5"/>
    <w:rsid w:val="00E51992"/>
    <w:rsid w:val="00E52023"/>
    <w:rsid w:val="00E5387D"/>
    <w:rsid w:val="00E56D6F"/>
    <w:rsid w:val="00E6643B"/>
    <w:rsid w:val="00E70CDC"/>
    <w:rsid w:val="00E729FB"/>
    <w:rsid w:val="00E75DE8"/>
    <w:rsid w:val="00E774E6"/>
    <w:rsid w:val="00E80778"/>
    <w:rsid w:val="00E85297"/>
    <w:rsid w:val="00E85A2C"/>
    <w:rsid w:val="00E868A1"/>
    <w:rsid w:val="00E86FBF"/>
    <w:rsid w:val="00E87543"/>
    <w:rsid w:val="00E91D1E"/>
    <w:rsid w:val="00E939AD"/>
    <w:rsid w:val="00E96244"/>
    <w:rsid w:val="00EA207E"/>
    <w:rsid w:val="00EA24F1"/>
    <w:rsid w:val="00EA27F3"/>
    <w:rsid w:val="00EA2FD9"/>
    <w:rsid w:val="00EA3ED3"/>
    <w:rsid w:val="00EA5768"/>
    <w:rsid w:val="00EB0FA5"/>
    <w:rsid w:val="00EB1C6A"/>
    <w:rsid w:val="00EB78EC"/>
    <w:rsid w:val="00EC124C"/>
    <w:rsid w:val="00EC4608"/>
    <w:rsid w:val="00ED0CA8"/>
    <w:rsid w:val="00ED71A7"/>
    <w:rsid w:val="00ED7ADB"/>
    <w:rsid w:val="00EE2818"/>
    <w:rsid w:val="00EE3608"/>
    <w:rsid w:val="00EE3C95"/>
    <w:rsid w:val="00EE4B8E"/>
    <w:rsid w:val="00EE53F2"/>
    <w:rsid w:val="00EF1470"/>
    <w:rsid w:val="00EF6AF8"/>
    <w:rsid w:val="00F02C0C"/>
    <w:rsid w:val="00F03A46"/>
    <w:rsid w:val="00F03AB0"/>
    <w:rsid w:val="00F06D7C"/>
    <w:rsid w:val="00F15117"/>
    <w:rsid w:val="00F260BC"/>
    <w:rsid w:val="00F301A2"/>
    <w:rsid w:val="00F33144"/>
    <w:rsid w:val="00F35C05"/>
    <w:rsid w:val="00F36AFC"/>
    <w:rsid w:val="00F371F3"/>
    <w:rsid w:val="00F374ED"/>
    <w:rsid w:val="00F41CE5"/>
    <w:rsid w:val="00F41FB1"/>
    <w:rsid w:val="00F45138"/>
    <w:rsid w:val="00F46349"/>
    <w:rsid w:val="00F515C1"/>
    <w:rsid w:val="00F5252C"/>
    <w:rsid w:val="00F54497"/>
    <w:rsid w:val="00F57076"/>
    <w:rsid w:val="00F6020F"/>
    <w:rsid w:val="00F6025C"/>
    <w:rsid w:val="00F62A52"/>
    <w:rsid w:val="00F6330D"/>
    <w:rsid w:val="00F65154"/>
    <w:rsid w:val="00F7639E"/>
    <w:rsid w:val="00F8171D"/>
    <w:rsid w:val="00F83195"/>
    <w:rsid w:val="00F83492"/>
    <w:rsid w:val="00F84089"/>
    <w:rsid w:val="00F84172"/>
    <w:rsid w:val="00F85569"/>
    <w:rsid w:val="00F9237C"/>
    <w:rsid w:val="00F933DB"/>
    <w:rsid w:val="00F93764"/>
    <w:rsid w:val="00F938FC"/>
    <w:rsid w:val="00F9390A"/>
    <w:rsid w:val="00F958D2"/>
    <w:rsid w:val="00F96FF9"/>
    <w:rsid w:val="00FA044B"/>
    <w:rsid w:val="00FA2FCA"/>
    <w:rsid w:val="00FA30A4"/>
    <w:rsid w:val="00FA4807"/>
    <w:rsid w:val="00FB089B"/>
    <w:rsid w:val="00FB3C29"/>
    <w:rsid w:val="00FB4749"/>
    <w:rsid w:val="00FB4819"/>
    <w:rsid w:val="00FB4CAB"/>
    <w:rsid w:val="00FB6798"/>
    <w:rsid w:val="00FC283A"/>
    <w:rsid w:val="00FC56A8"/>
    <w:rsid w:val="00FC7C74"/>
    <w:rsid w:val="00FD1ACD"/>
    <w:rsid w:val="00FD498C"/>
    <w:rsid w:val="00FE4EED"/>
    <w:rsid w:val="00FE6654"/>
    <w:rsid w:val="00FE71B6"/>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paragraph" w:customStyle="1" w:styleId="LGTdoc">
    <w:name w:val="LGTdoc_본문"/>
    <w:basedOn w:val="Normal"/>
    <w:link w:val="LGTdocChar"/>
    <w:qFormat/>
    <w:rsid w:val="00CC4076"/>
    <w:pPr>
      <w:widowControl w:val="0"/>
      <w:overflowPunct/>
      <w:autoSpaceDE/>
      <w:autoSpaceDN/>
      <w:adjustRightInd/>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CC4076"/>
    <w:rPr>
      <w:rFonts w:ascii="Times New Roman" w:eastAsia="Batang" w:hAnsi="Times New Roman" w:cs="Times New Roman"/>
      <w:kern w:val="2"/>
      <w:szCs w:val="24"/>
      <w:lang w:val="en-GB" w:eastAsia="ko-KR"/>
    </w:rPr>
  </w:style>
  <w:style w:type="paragraph" w:customStyle="1" w:styleId="0Maintext">
    <w:name w:val="0 Main text"/>
    <w:basedOn w:val="Normal"/>
    <w:link w:val="0MaintextChar"/>
    <w:qFormat/>
    <w:rsid w:val="0096586A"/>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link w:val="0Maintext"/>
    <w:rsid w:val="0096586A"/>
    <w:rPr>
      <w:rFonts w:ascii="Times New Roman" w:eastAsia="Malgun Gothic" w:hAnsi="Times New Roman" w:cs="Batang"/>
      <w:sz w:val="20"/>
      <w:szCs w:val="20"/>
      <w:lang w:val="en-GB" w:eastAsia="en-US"/>
    </w:rPr>
  </w:style>
  <w:style w:type="paragraph" w:customStyle="1" w:styleId="NO">
    <w:name w:val="NO"/>
    <w:basedOn w:val="Normal"/>
    <w:link w:val="NOChar"/>
    <w:rsid w:val="00CE5801"/>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rsid w:val="00CE5801"/>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77086754">
      <w:bodyDiv w:val="1"/>
      <w:marLeft w:val="0"/>
      <w:marRight w:val="0"/>
      <w:marTop w:val="0"/>
      <w:marBottom w:val="0"/>
      <w:divBdr>
        <w:top w:val="none" w:sz="0" w:space="0" w:color="auto"/>
        <w:left w:val="none" w:sz="0" w:space="0" w:color="auto"/>
        <w:bottom w:val="none" w:sz="0" w:space="0" w:color="auto"/>
        <w:right w:val="none" w:sz="0" w:space="0" w:color="auto"/>
      </w:divBdr>
      <w:divsChild>
        <w:div w:id="366100515">
          <w:marLeft w:val="446"/>
          <w:marRight w:val="0"/>
          <w:marTop w:val="0"/>
          <w:marBottom w:val="0"/>
          <w:divBdr>
            <w:top w:val="none" w:sz="0" w:space="0" w:color="auto"/>
            <w:left w:val="none" w:sz="0" w:space="0" w:color="auto"/>
            <w:bottom w:val="none" w:sz="0" w:space="0" w:color="auto"/>
            <w:right w:val="none" w:sz="0" w:space="0" w:color="auto"/>
          </w:divBdr>
        </w:div>
        <w:div w:id="1884974755">
          <w:marLeft w:val="1166"/>
          <w:marRight w:val="0"/>
          <w:marTop w:val="0"/>
          <w:marBottom w:val="0"/>
          <w:divBdr>
            <w:top w:val="none" w:sz="0" w:space="0" w:color="auto"/>
            <w:left w:val="none" w:sz="0" w:space="0" w:color="auto"/>
            <w:bottom w:val="none" w:sz="0" w:space="0" w:color="auto"/>
            <w:right w:val="none" w:sz="0" w:space="0" w:color="auto"/>
          </w:divBdr>
        </w:div>
        <w:div w:id="391269365">
          <w:marLeft w:val="446"/>
          <w:marRight w:val="0"/>
          <w:marTop w:val="0"/>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679653937">
      <w:bodyDiv w:val="1"/>
      <w:marLeft w:val="0"/>
      <w:marRight w:val="0"/>
      <w:marTop w:val="0"/>
      <w:marBottom w:val="0"/>
      <w:divBdr>
        <w:top w:val="none" w:sz="0" w:space="0" w:color="auto"/>
        <w:left w:val="none" w:sz="0" w:space="0" w:color="auto"/>
        <w:bottom w:val="none" w:sz="0" w:space="0" w:color="auto"/>
        <w:right w:val="none" w:sz="0" w:space="0" w:color="auto"/>
      </w:divBdr>
      <w:divsChild>
        <w:div w:id="266502069">
          <w:marLeft w:val="547"/>
          <w:marRight w:val="0"/>
          <w:marTop w:val="106"/>
          <w:marBottom w:val="0"/>
          <w:divBdr>
            <w:top w:val="none" w:sz="0" w:space="0" w:color="auto"/>
            <w:left w:val="none" w:sz="0" w:space="0" w:color="auto"/>
            <w:bottom w:val="none" w:sz="0" w:space="0" w:color="auto"/>
            <w:right w:val="none" w:sz="0" w:space="0" w:color="auto"/>
          </w:divBdr>
        </w:div>
      </w:divsChild>
    </w:div>
    <w:div w:id="1693409373">
      <w:bodyDiv w:val="1"/>
      <w:marLeft w:val="0"/>
      <w:marRight w:val="0"/>
      <w:marTop w:val="0"/>
      <w:marBottom w:val="0"/>
      <w:divBdr>
        <w:top w:val="none" w:sz="0" w:space="0" w:color="auto"/>
        <w:left w:val="none" w:sz="0" w:space="0" w:color="auto"/>
        <w:bottom w:val="none" w:sz="0" w:space="0" w:color="auto"/>
        <w:right w:val="none" w:sz="0" w:space="0" w:color="auto"/>
      </w:divBdr>
      <w:divsChild>
        <w:div w:id="133719306">
          <w:marLeft w:val="446"/>
          <w:marRight w:val="0"/>
          <w:marTop w:val="0"/>
          <w:marBottom w:val="0"/>
          <w:divBdr>
            <w:top w:val="none" w:sz="0" w:space="0" w:color="auto"/>
            <w:left w:val="none" w:sz="0" w:space="0" w:color="auto"/>
            <w:bottom w:val="none" w:sz="0" w:space="0" w:color="auto"/>
            <w:right w:val="none" w:sz="0" w:space="0" w:color="auto"/>
          </w:divBdr>
        </w:div>
        <w:div w:id="1810901820">
          <w:marLeft w:val="1166"/>
          <w:marRight w:val="0"/>
          <w:marTop w:val="0"/>
          <w:marBottom w:val="0"/>
          <w:divBdr>
            <w:top w:val="none" w:sz="0" w:space="0" w:color="auto"/>
            <w:left w:val="none" w:sz="0" w:space="0" w:color="auto"/>
            <w:bottom w:val="none" w:sz="0" w:space="0" w:color="auto"/>
            <w:right w:val="none" w:sz="0" w:space="0" w:color="auto"/>
          </w:divBdr>
        </w:div>
        <w:div w:id="1687170894">
          <w:marLeft w:val="446"/>
          <w:marRight w:val="0"/>
          <w:marTop w:val="0"/>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47520-F22F-4D44-879B-EF0EC4D5E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9</Pages>
  <Words>2515</Words>
  <Characters>14337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114</cp:revision>
  <dcterms:created xsi:type="dcterms:W3CDTF">2019-09-11T06:15:00Z</dcterms:created>
  <dcterms:modified xsi:type="dcterms:W3CDTF">2019-10-04T03:55:00Z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